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333-292857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January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142875</wp:posOffset>
            </wp:positionV>
            <wp:extent cx="1156970"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697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13,440,860 Shares of Common Stock</w:t>
      </w:r>
    </w:p>
    <w:p>
      <w:pPr>
        <w:spacing w:after="0" w:line="229"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relates to the resale of up to 13,440,860 shares of T1 Energy Inc. (the “Company,” “we,” “our,” “us,” “T1 Energy”) common stock, par value $0.01 per share (the “common stock”), by the selling stockholder named in this prospectus supplement (collectively with any pledgees, donees, transferees, assignees, successors, designees and other permitted transferees, the “Selling Stockholder”). The shares of common stock registered for resale pursuant to this prospectus supplement consist of up to 13,440,860 shares of common stock issuable upon the conversion of the Company’s 4.75% Convertible Senior Notes due 2031 (the “Convertible Notes”) held by the Selling Stockholder, assuming physical settlement will apply to all such conversions and including the maximum number of make-whole shares that may be issued pursuant to the terms of the Convertible Notes (such shares of common stock, the “Conversion Shares”). The Selling Stockholder acquired the Convertible Notes pursuant to a private placement completed on September 30, 2026. We are registering the offer and resale of the Conversion Shares issuable upon conversion of such Convertible Notes to fulfill our contractual obligations set forth in note purchase agreements entered into with the Selling Stockholder. We will not receive any of the proceeds from the resale of any Conversion Shares by the Selling Stockholder.</w:t>
      </w:r>
    </w:p>
    <w:p>
      <w:pPr>
        <w:spacing w:after="0" w:line="19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will pay or assume all discounts, selling commissions and other expenses, if any, incurred in connection with the sale of the Conversion Shares. We have agreed to pay certain expenses in connection with the registration statement of which this prospectus supplement forms a part and to indemnify the Selling Stockholder and certain related persons against certain liabilities.</w:t>
      </w:r>
    </w:p>
    <w:p>
      <w:pPr>
        <w:spacing w:after="0" w:line="17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registering the Conversion Shares in order to permit the Selling Stockholder to offer the Conversion Shares for resale from time to time. Our registration of the Conversion Shares covered by this prospectus supplement does not mean that any Conversion Shares will be issued or that the Selling Stockholder will offer or sell any of shares of common stock.</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 may sell, transfer or otherwise dispose of all or a portion of the Conversion Shares publicly or through private transactions at fixed prices, prevailing market prices or at negotiated prices, or at market prices prevailing at the time of sale. See “Plan of Distribution.”</w:t>
      </w:r>
    </w:p>
    <w:p>
      <w:pPr>
        <w:spacing w:after="0" w:line="162"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common stock is listed on the New York Stock Exchange (the “NYSE”) under the symbol “TE.” On October 29, 2026, the last reported sale price of the common stock was $2.86 per share.</w:t>
      </w:r>
    </w:p>
    <w:p>
      <w:pPr>
        <w:spacing w:after="0" w:line="158"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AND YOU SHOULD READ THIS PROSPECTUS SUPPLEMENT, THE ACCOMPANYING PROSPECTUS AND THE DOCUMENTS INCORPORATED OR DEEMED INCORPORATED BY REFERENCE INTO THIS PROSPECTUS SUPPLEMENT AND THE ACCOMPANYING PROSPECTUS BEFORE YOU INVEST. SEE “RISK FACTORS” BEGINNING ON PAGE S-3 OF THIS PROSPECTUS SUPPLEMENT AND ANY SIMILAR SECTION INCLUDED IN THE ACCOMPANYING PROSPECTUS AND IN THE DOCUMENTS INCORPORATED BY REFERENCE HEREIN AND THEREIN. YOU SHOULD CAREFULLY CONSIDER THESE FACTORS BEFORE MAKING YOUR INVESTMENT DECISION.</w:t>
      </w:r>
    </w:p>
    <w:p>
      <w:pPr>
        <w:spacing w:after="0" w:line="18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7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7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75"/>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SUMMARY OF THIS PROSPECTUS SUPPLEMENT</w:t>
            </w:r>
          </w:p>
        </w:tc>
        <w:tc>
          <w:tcPr>
            <w:tcW w:w="4520" w:type="dxa"/>
            <w:vAlign w:val="bottom"/>
            <w:tcBorders>
              <w:bottom w:val="single" w:sz="8" w:color="CCEEFF"/>
            </w:tcBorders>
            <w:gridSpan w:val="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REGISTERED</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w:t>
            </w:r>
          </w:p>
        </w:tc>
        <w:tc>
          <w:tcPr>
            <w:tcW w:w="6420" w:type="dxa"/>
            <w:vAlign w:val="bottom"/>
            <w:tcBorders>
              <w:bottom w:val="single" w:sz="8" w:color="CCEEFF"/>
            </w:tcBorders>
            <w:gridSpan w:val="15"/>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080" w:type="dxa"/>
            <w:vAlign w:val="bottom"/>
            <w:tcBorders>
              <w:top w:val="single" w:sz="8" w:color="CCEEFF"/>
            </w:tcBorders>
            <w:gridSpan w:val="18"/>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453"/>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480" w:type="dxa"/>
            <w:vAlign w:val="bottom"/>
            <w:gridSpan w:val="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7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00" w:type="dxa"/>
            <w:vAlign w:val="bottom"/>
            <w:tcBorders>
              <w:bottom w:val="single" w:sz="8" w:color="CCEEFF"/>
            </w:tcBorders>
            <w:gridSpan w:val="1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7220" w:type="dxa"/>
            <w:vAlign w:val="bottom"/>
            <w:tcBorders>
              <w:bottom w:val="single" w:sz="8" w:color="CCEEFF"/>
            </w:tcBorders>
            <w:gridSpan w:val="19"/>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00" w:type="dxa"/>
            <w:vAlign w:val="bottom"/>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700" w:type="dxa"/>
            <w:vAlign w:val="bottom"/>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660" w:type="dxa"/>
            <w:vAlign w:val="bottom"/>
            <w:tcBorders>
              <w:bottom w:val="single" w:sz="8" w:color="CCEEFF"/>
            </w:tcBorders>
            <w:gridSpan w:val="1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EXISTING WARRANTS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5"/>
        </w:trPr>
        <w:tc>
          <w:tcPr>
            <w:tcW w:w="33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NEW WARRANTS</w:t>
            </w:r>
          </w:p>
        </w:tc>
        <w:tc>
          <w:tcPr>
            <w:tcW w:w="5180" w:type="dxa"/>
            <w:vAlign w:val="bottom"/>
            <w:tcBorders>
              <w:top w:val="single" w:sz="8" w:color="CCEEFF"/>
            </w:tcBorders>
            <w:gridSpan w:val="8"/>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060" w:type="dxa"/>
            <w:vAlign w:val="bottom"/>
            <w:tcBorders>
              <w:bottom w:val="single" w:sz="8" w:color="CCEEFF"/>
            </w:tcBorders>
            <w:gridSpan w:val="6"/>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UNITS</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6020" w:type="dxa"/>
            <w:vAlign w:val="bottom"/>
            <w:tcBorders>
              <w:bottom w:val="single" w:sz="8" w:color="CCEEFF"/>
            </w:tcBorders>
            <w:gridSpan w:val="13"/>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080" w:type="dxa"/>
            <w:vAlign w:val="bottom"/>
            <w:tcBorders>
              <w:top w:val="single" w:sz="8" w:color="CCEEFF"/>
            </w:tcBorders>
            <w:gridSpan w:val="18"/>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6"/>
        </w:trPr>
        <w:tc>
          <w:tcPr>
            <w:tcW w:w="85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00" w:type="dxa"/>
            <w:vAlign w:val="bottom"/>
            <w:shd w:val="clear" w:color="auto" w:fill="CCEEFF"/>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700" w:type="dxa"/>
            <w:vAlign w:val="bottom"/>
          </w:tcPr>
          <w:p>
            <w:pPr>
              <w:jc w:val="center"/>
              <w:ind w:left="14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an automatic registration statement on Form S-3 that we filed with the SEC utilizing a “shelf” registration process as a “well-known seasoned issuer,” as defined in Rule 405 under the Securities Act of 1933, as amended (the “Securities Act”). Under this process, the Selling Stockholder named in this prospectus supplement may sell the Conversion Shares from time to time. The exhibits to the registration statement of which this prospectus supplement is a part and documents incorporated by reference herein contain the full text of certain contracts and other important documents that we have summarized in this prospectus supplement and the accompanying prospectus. Since these summaries may not contain all the information that you may find important in deciding whether to acquire or purchase Conversion Shares offered by this prospectus supplement, you should review the full text of these documents. We may provide an additional prospectus supplement or post-effective amendment to the registration statement of which this prospectus supplement forms a part to add to, update or change the information contained in this prospectus supplement. The registration statement and the exhibits and other documents can be obtained from the SEC as indicated under the section entitled “Where You Can Find More Information” and “Incorporation of Certain Documents by Reference.”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Generally, when we refer to this “prospectus supplement,” we are referring to both this prospectus supplement and the accompanying prospectus, as well as the documents incorporated by reference herein and therein.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Stockholder may offer the Conversion Shares directly or through one or more broker-dealers or agents. See “Plan of Distribution.”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supplement prepared by or on behalf of us or to which we have referred you. We and the Selling Stockholder take no responsibility for, and can provide no assurance as to the reliability of, any other information that others may give you. The information contained in this prospectus supplement is accurate only as of its respective date. Our business, financial condition, results of operations and prospects may have changed materially since those dates. Neither we nor the Selling Stockholder will make an offer to sell these Conversion Shares in any jurisdiction where the offer or sale is not permitted.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unless otherwise stated or unless the context otherwise requires: references to the “Company,” “T1 Energy,” the “registrant,” “we,” “our,” “us” and similar terms are to T1 Energy Inc., a Delaware corporation, and where appropriate, its wholly-owned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supplement and the accompanying prospectus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 identify forward-looking statements, although not all forward-looking statements contain such identifying words.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supplement and the accompanying prospectus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in our Annual Report on Form 10-K for the year ended December 31, 2025 filed with the SEC on March 31, 2026, as amended and supplemented by Amendment No. 1 on Form 10-K/A filed with the SEC on April 30, 2026, and in our subsequent Quarterly Reports on Form 10-Q and our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(the “Code”); and (x) the Company’s exposure to warranty claims; (2) the Company’s ability to secure a comprehensive financing solution to fund the remaining capital expenditure for Phase 1 of G2_Austin (as defined herein)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(including T1’s ability to obtain tariff refunds); (7) the outcome of any legal proceedings relating to the Company’s products and services, including intellectual property or product liability claims, commercial or contractual disputes, warranty claims, and other proceedings; and (8) the capital-intensive nature of the Company’s business and its ability to raise additional capital on attractive terms or service its debt.</w:t>
      </w:r>
    </w:p>
    <w:p>
      <w:pPr>
        <w:spacing w:after="0" w:line="20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supplement or the accompanying prospectus,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and the accompanying prospectus,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or, in the case of the accompanying prospectus or the documents incorporated by reference herein or therein, the date of any such document. Except as required by applicable law, we do not assume any obligation to update or revise any forward-looking statement, whether as a result of any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6750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SUMMARY OF THIS PROSPECTUS SUPPLEMENT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supplement and the accompanying prospectus. Because it is a summary, it may not contain all of the information that may be important to you. To understand this offering fully, you should read this prospectus supplement and the accompanying prospectus carefully, including the information set forth under the heading “Risk Factors” and our financial statements and related notes included in or incorporated by reference into this prospectus supplement and the accompanying prospectus and the documents to which we refer in the “Incorporation of Certain Documents by Reference” section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T1 Energy is an energy solutions provider building an integrated U.S. supply chain for solar modules and cells. We manufacture and sell photovoltaic (“PV”) solar modules in the United States.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in the first quarter of 2027 of high-efficiency TOPCon solar cells that will be used in the PV solar modules manufactured at G1_Dallas.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28, 2026, we entered into a note purchase agreement with the Selling Stockholder for the sale of $50.0 million in aggregate principal amount of Convertible Notes. The private placement was completed on September 30, 2026.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Convertible Notes were issued pursuant to an Indenture, dated as of July 31, 2026 (the “Indenture”), between T1 Energy and U.S. Bank Trust Company, National Association, as trustee. The Convertible Notes sold to the Selling Stockholder were an additional issuance of the 4.75% Convertible Senior Notes due 2031 that the Company issued on July 31, 2026 in an aggregate principal amount of $120.0 million (the “Existing Notes”). The Convertible Notes issued to the Selling Stockholder form a single series with, and have the same terms as, the Existing Notes under the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Convertible Notes are our senior unsecured obligations and bear interest at a rate of 4.75% per annum, payable semi-annually in arrears on February 1 and August 1 of each year, beginning on February 1, 2027. The Convertible Notes will mature on August 1, 2031, unless earlier repurchased, redeemed or converted.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Before May 1, 2031, holders may convert their Convertible Notes at their option only in certain circumstances. At any time from, and including, May 1, 2031 until the close of business on the business day immediately preceding the maturity date, the Convertible Notes will be convertible at the option of the holders. We will settle conversions by paying and/or delivering, as applicable, cash, shares of our common stock, or a combination of cash and shares of our common stock, at our election. The initial conversion rate is 224.0143 shares of our common stock per $1,000 principal amount of the Convertible Notes, which is equivalent to an initial conversion price of approximately $4.46 per share of common stock. If a “make-whole fundamental change” (as defined in the Indenture) occurs, or if we call a holder’s Convertible Notes for redemption, then we will in certain circumstances increase the conversion rate for a specified period of time for holders who convert their Convertible Notes in connection with that make-whole fundamental change, or who convert their Convertible Notes that are called for such redemption (up to a maximum of 44.8029 additional shares of common stock per $1,000 original principal amount). We may ultimately deliver fewer or none of such shares of common stock in connection with the Convertible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4967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4967605"/>
                    </a:xfrm>
                    <a:prstGeom prst="rect">
                      <a:avLst/>
                    </a:prstGeom>
                    <a:noFill/>
                  </pic:spPr>
                </pic:pic>
              </a:graphicData>
            </a:graphic>
          </wp:anchor>
        </w:drawing>
        <w:t>The Convertible Notes will not be redeemable prior to August 6, 2029. The Convertible Notes will be redeemable, in whole or in part (subject to certain limitations), at our option at any time, and from time to time, on or after August 6, 2029 and prior to the 41st scheduled trading day immediately before the maturity date, at a cash redemption price equal to the principal amount of the Convertible Notes to be redeemed, plus accrued and unpaid interest, if any, to, but excluding, the redemption date, but only if the last reported sale price per share of our common stock equals or exceeds 130% of the conversion price for the Convertible Notes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then, subject to certain exceptions, holders may require us to repurchase their Convertible Notes at a cash repurchase price equal to the principal amount of the Convertible Notes to be repurchased, plus accrued and unpaid interest, if any, to, but excluding, the fundamental change repurchase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common stock is currently listed on the NYSE under the symbol “TE.”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mailing address of T1 Energy’s registered and principal executive office is 1211 E 4th St. Austin, Texas 78702. The telephone number of T1 Energy’s registered and principal executive office is 409-599-5706.</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investor relations website is located at </w:t>
      </w:r>
      <w:r>
        <w:rPr>
          <w:rFonts w:ascii="Times New Roman" w:cs="Times New Roman" w:eastAsia="Times New Roman" w:hAnsi="Times New Roman"/>
          <w:sz w:val="18"/>
          <w:szCs w:val="18"/>
          <w:i w:val="1"/>
          <w:iCs w:val="1"/>
          <w:color w:val="auto"/>
        </w:rPr>
        <w:t>https://ir.t1energy.com/</w:t>
      </w:r>
      <w:r>
        <w:rPr>
          <w:rFonts w:ascii="Times New Roman" w:cs="Times New Roman" w:eastAsia="Times New Roman" w:hAnsi="Times New Roman"/>
          <w:sz w:val="18"/>
          <w:szCs w:val="18"/>
          <w:color w:val="auto"/>
        </w:rPr>
        <w:t xml:space="preserve">, and its news site located at </w:t>
      </w:r>
      <w:r>
        <w:rPr>
          <w:rFonts w:ascii="Times New Roman" w:cs="Times New Roman" w:eastAsia="Times New Roman" w:hAnsi="Times New Roman"/>
          <w:sz w:val="18"/>
          <w:szCs w:val="18"/>
          <w:i w:val="1"/>
          <w:iCs w:val="1"/>
          <w:color w:val="auto"/>
        </w:rPr>
        <w:t>https://ir.t1energy.com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news-releases/news-releases</w:t>
      </w:r>
      <w:r>
        <w:rPr>
          <w:rFonts w:ascii="Times New Roman" w:cs="Times New Roman" w:eastAsia="Times New Roman" w:hAnsi="Times New Roman"/>
          <w:sz w:val="18"/>
          <w:szCs w:val="18"/>
          <w:color w:val="auto"/>
        </w:rPr>
        <w:t>. Our X (f/k/a Twitter) account is located at https://x.com/T1_Energy, our LinkedIn account is located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(https://www.instagram.com/danbarcelo/)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on each, or that can be accessed through each, is not deemed to be incorporated by reference in, and is not considered part of, this prospectus supplement or the accompanying prospectus, and you should not consider it a part of this prospectus supplement or the accompanying prospectus. We also make available, free of charge, on our investor relations website under “Financials—SEC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7"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significant risks. Prior to making a decision about investing in our common stock, and in consultation with your own financial and legal advisors, you should carefully consider, among other matters, the following risk factors, as well as those incorporated by reference in this prospectus supplement from our most recent Annual Report on Form 10-K, as revised or supplemented by our subsequent Quarterly Reports on Form 10-Q, under the headings “Risk Factors” and “Management’s Discussion and Analysis of Financial Condition and Results of Operations” and other filings we may make from time to time with the SEC. The risks described below are not the only ones facing our company. Additional risks not presently known to us or that we currently consider less significant may also impair our business operations. Our business, financial condition, or results of operations could be materially adversely affected by any of these risks.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or incorporates by reference forward-looking statements that involve risks and uncertainties. Our actual results could differ materially from those anticipated in such forward-looking statements as a result of certain factors, including the risks faced by us described below and elsewhere in this prospectus supplement. See “Cautionary Note Regarding Forward-Looking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ownership among our executive officers, directors, and their affiliates may prevent new investors from influencing significant corporate decisions.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their affiliates own shares of our common stock as well as other securities convertible into or exchangeable for shares of our common stock, outstanding options and/or may have certain contractual anti-dilution rights, as applicable, which in each case, may allow them to acquire additional shares of our common stock. As a result, these stockholders as a group could exercise a level of control over matters requiring stockholder approval, including the election of directors, amendment of our Certificate of Incorporation (as defined herein), and approval of significant corporate transactions. This control could have the effect of delaying or preventing a change of control or changes in management and will make the approval of certain transactions more difficult without the support of these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be subject to wide fluctuations in response to a variety of factors, including the following:</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our shares of common stock on NYSE;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our projected financial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organic and inorganic growth of our business and the timing of expected business milestones.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stock, regardless of our actual operating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third-party commentary about our company is negative or ceases, our share price and trading volume could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If securities or industry analysts initiate coverage and one or more of the analysts who cover us downgrade our common stock or publish inaccurate or unfavorable research about our company, our common stock share price would likely decline. If analysts publish target prices for our common stock that are below the historical sales prices for shares of our common stock on a securities exchange or the then-current public price of our common stock, it could cause our stock price to decline significantly. Further, if one or more of these analysts cease coverage of us or fail to publish reports on us regularly, demand for our common stock could decrease, which might cause our common stock price and trading volume to decline. In addition to traditional equity research coverage, our common stock price and trading volume may be influenced by commentary, reports and opinions published or disseminated by independent writers, bloggers, podcasters or social media personalities (sometimes referred to as “influencers”), as well as third parties on social media platforms, investor forums and similar channels. These communications may be based on incomplete, inaccurate or misleading information, may be driven by short-term trading interests, and may not reflect our actual business performance or prospects. To the extent such third-party commentary is unfavorable, inaccurate or otherwise negative, our stock price and trading volume could be adversely affected. Conversely, if we have benefited from favorable third-party commentary in the past, there can be no assurance that such commentary will continue and any reduction or cessation of such commentary could also negatively affect demand for our common stock, or our stock price and trading volume.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which would be senior to our common stock upon liquidation, and/or preferred equity securities, which may be senior to our common stock for purposes of dividend distributions or upon liquidation, may adversely affect the market price of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or additional preferred equity securities, including senior or subordinated notes and entering into new loan agreements. Upon liquidation, holders of our debt securities and preferred stock and lenders with respect to other borrowings will receive distributions of our available assets prior to the holders of our common stock. Additional equity and equity-linked offerings may dilute the holdings of our existing stockholders or reduce the market price of our common stock, or both. Except as otherwise disclosed in SEC filings, holders of our common stock are not entitled to preemptive rights or other protections against dilution. Because our decision to issue securities in any future offering and to enter into new loan agreements will depend on market conditions and other factors, many of which are beyond our control, we cannot predict or estimate the amount, timing or nature of our future offerings or borrowings. Thus, our stockholders bear the risk of our future offerings or loan arrangements reducing the market price of our common stock, reducing our assets available to them upon our liquidation and diluting their shareholdings in us.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and sales of our common stock or equity-linked securities in the public market and/or in connection with the acquisition of businesses or assets could lower the trading price of our common stock.</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or equity-linked securities to raise capital and/or may issue such securities in connection with the acquisition of businesses or assets. In addition, a substantial number of shares of our common stock is, or will be, reserved for issuance upon the exercise of stock options and the vesting of restricted stock units pursuant to our equity incentive plans, upon conversion of our preferred stock and upon conversion of our outstanding 5.25% Convertible Senior Notes due 2030, 4.00% Convertible Senior Notes due 2031 and the Convertible Notes. We have also elected to issue additional shares of our common stock as consideration for our previously announced acquisition of certain intellectual property and related rights and other assets from Evervolt Green Energy Holding Pte, Ltd. and will be required to issue additional shares of common stock in connection with our previously announced acquisition of T1 NRI Inc. (formerly known as KORE Power, Inc.).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market price of our common stock and impair our ability to raise capital through the sale of additional equity or equity-linked securities.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shares of common stock expected to be sold in this offering will be freely tradable without restriction or further registration under the Securities Act, unless held by our “affiliates” as defined in Rule 144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in the foreseeable future, capital appreciation, if any, would be your sole source of gain.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capital-intensive nature of our business, we do not currently anticipate declaring any cash dividends to holders of our common stock in the foreseeable future. As a result, capital appreciation, if any, of our shares of common stock would be your sole source of gain on an investment in such shares for the foreseeable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Conversion Shares offered by the Selling Stockholder pursuant to this prospectus supplement will be sold by the Selling Stockholder for its own account. We cannot currently determine the price or prices at which such Conversion Shares may be sold by the Selling Stockholder, if at all. We will not receive any of the proceeds from these sales.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 will pay any discounts, selling commissions and other expenses, if any, applicable to the shares of common stock that they incur in disposing of any Conversion Shares offered by this prospectus supplement. We will bear all other costs, fees and expenses incurred in effecting the registration of the Conversion Shares covered by this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BEING REGISTERED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Company’s common stock and is not intended to be a complete summary of the rights and preferences of our common stock. The Company’s Amended and Restated Certificate of Incorporation, as amended (the “Certificate of Incorporation”), and Third Amended Restated Bylaws (the “Bylaws”) are incorporated by reference into this prospectus supplement. Read the applicable provisions of Delaware law, the Certificate of Incorporation and the Bylaws in their entirety for a complete description of the rights and preferences of the Company’s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T1 Energy’s authorized capital stock consists of (i) 1,000,000,000 shares of common stock, par value $0.01 per share, and (ii) 10,000,000 shares of preferred stock, par value $0.01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prior dividend rights of the holders of any preferred stock of T1 Energy and any other class or series of shares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as to dividends over common stock, holders of shares of common stock are entitled to receive dividends when, as and if declared by the T1 Energy board of directors, out of funds legally available for that purpose.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outstanding share of common stock is entitled to one vote per share on each matter to be voted on by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holders of common stock are not entitled to cumulative voting of their shares in elections of directors.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In the event of any liquidation, dissolution or winding up (either voluntary of involuntary) of T1 Energy,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T1 Energy’s common stock is currently listed on the NYSE under the symbol “TE.”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Ownership Limitation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7701(a)(51)(E)(iii) of the Code, an entity that is a publicly traded company or a subsidiary of a publicly traded company is a foreign-influenced entity if, during the taxable year, one or more Specified Foreign Entities (as defined herein) that are each required to report their beneficial ownership under Rule 13d-3 of the Exchange Act own, in the aggregate, not less than 40% of such entity (the “Aggregated Equity Test”).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T1 Energy is authorized to effect any and all measures and to make any and all determinations reasonably necessary or desirable (consistent with applicable laws, the Certificate of Incorporation and the Bylaws) to, without limitation:</w:t>
      </w:r>
    </w:p>
    <w:p>
      <w:pPr>
        <w:spacing w:after="0" w:line="162"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share transfer records of T1 Energy in such a manner so that the percentage of any class of shares of T1 Energy’s common stock or preferred stock that is owned by Specified Foreign Entities can be determined and confirmed;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transfer of T1 Energy’s common stock or preferred stock that does not comply with the Certificate of Incorporation will be void and ineffective as against T1 Energy.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DGCL Section 203</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spacing w:after="0" w:line="176" w:lineRule="exact"/>
        <w:rPr>
          <w:sz w:val="20"/>
          <w:szCs w:val="20"/>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shares of T1 Energy and any entity or person affiliated with or controlling or controlled by the entity or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Board Composition and Powers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Stockholders’ Derivative 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T1 Energy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T1 Energy common stock and preferred stock could render more difficult or discourage an attempt to obtain control over T1 Energy by means of a proxy contest, tender offer, merger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Approval Requirements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of Personal Liability of Directors/Officers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Under the DGCL, no such elimination of liability is permitted (i) for any breach of the director’s duty of loyalty to T1 Energy or its stockholders,</w:t>
      </w:r>
    </w:p>
    <w:p>
      <w:pPr>
        <w:spacing w:after="0" w:line="27" w:lineRule="exact"/>
        <w:rPr>
          <w:sz w:val="20"/>
          <w:szCs w:val="20"/>
          <w:color w:val="auto"/>
        </w:rPr>
      </w:pPr>
    </w:p>
    <w:p>
      <w:pPr>
        <w:ind w:firstLine="8"/>
        <w:spacing w:after="0" w:line="260"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the offer and resale by the Selling Stockholder from time to time of up to 13,440,860 shares of common stock that may be issued to the Selling Stockholder upon conversion of the Convertible Notes held by the Selling Stockholder, assuming physical settlement will apply to all such conversions and including the maximum number of make-whole shares that may be issued pursuant to the terms of the Convertible Notes. When we refer to the “Selling Stockholder” in this prospectus supplement, we mean the person(s) listed in the table below (as such table may be amended from time to time by means of a prospectus supplement or a post-effective amendment to the registration statement of which this prospectus supplement forms a part), and any pledgees, donees, transferees, assignees, successors, designees and other permitted transferees who later come to hold any of the Selling Stockholder’s interest in the common stock set forth below other than through a public sale.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 may from time to time offer and sell pursuant to this prospectus supplement any or all of the shares of common stock issued to it upon conversion of the Convertible Notes. The table below sets forth the number of shares of common stock that the Selling Stockholder may offer and sell pursuant to this prospectus supplement, which includes the maximum number of shares of common stock issuable upon conversion of the Convertible Notes held by the Selling Stockholder, as well as the Selling Stockholder’s beneficial ownership of our common stock prior to and following the sale of the Conversion Shares covered by this prospectus supplement (assuming all such Conversion Shares are sold).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information set forth below is based primarily on information provided by or on behalf of the Selling Stockholder prior to the date hereof, including the Selling Stockholder’s beneficial ownership of our common stock. From and after the date on which such information was provided, the Selling Stockholder may have sold, transferred or otherwise disposed of, and may in the future sell, transfer or otherwise dispose of, some or all of the common stock indicated below in transactions exempt from the registration requirements of the Securities Act rather than under this prospectus supplement. In addition, because the Selling Stockholder is not obligated to sell the Conversion Shares offered hereby, we cannot advise you as to whether or when the Selling Stockholder will in fact sell any or all of such common stock, or the amount of shares, if any, the Selling Stockholder will beneficially own upon consummation of any such sale. For purposes of the table below, we have assumed that the Selling Stockholder will not acquire beneficial ownership of any additional securities of ours during the offering and will have sold all of the Conversion Shares covered by this prospectus supplement upon the completion of the offering.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Based on the information provided to us by the Selling Stockholder, the Selling Stockholder is not a broker-dealer or an affiliate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Information for the Selling Stockholder, if any, will be set forth by this prospectus supplement to the extent required prior to the time of any offer or sale by such Selling Stockholder of the Conversion Shares pursuant to this prospectus supplement. Any prospectus supplement may add, update, substitute or change the information contained in this prospectus supplement, including the identity of the Selling Stockholder and the number of shares registered on its, his, her or their behalf. The Selling Stockholder may sell or otherwise transfer all, some or none of such shares in this offering. See “Plan of Distribution.”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6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6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 Completion</w:t>
            </w:r>
          </w:p>
        </w:tc>
        <w:tc>
          <w:tcPr>
            <w:tcW w:w="0" w:type="dxa"/>
            <w:vAlign w:val="bottom"/>
          </w:tcPr>
          <w:p>
            <w:pPr>
              <w:spacing w:after="0"/>
              <w:rPr>
                <w:sz w:val="1"/>
                <w:szCs w:val="1"/>
                <w:color w:val="auto"/>
              </w:rPr>
            </w:pPr>
          </w:p>
        </w:tc>
      </w:tr>
      <w:tr>
        <w:trPr>
          <w:trHeight w:val="245"/>
        </w:trPr>
        <w:tc>
          <w:tcPr>
            <w:tcW w:w="5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0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this Offering</w:t>
            </w:r>
          </w:p>
        </w:tc>
        <w:tc>
          <w:tcPr>
            <w:tcW w:w="0" w:type="dxa"/>
            <w:vAlign w:val="bottom"/>
          </w:tcPr>
          <w:p>
            <w:pPr>
              <w:spacing w:after="0"/>
              <w:rPr>
                <w:sz w:val="1"/>
                <w:szCs w:val="1"/>
                <w:color w:val="auto"/>
              </w:rPr>
            </w:pPr>
          </w:p>
        </w:tc>
      </w:tr>
      <w:tr>
        <w:trPr>
          <w:trHeight w:val="263"/>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ind w:left="160"/>
              <w:spacing w:after="0" w:line="256" w:lineRule="exact"/>
              <w:rPr>
                <w:sz w:val="20"/>
                <w:szCs w:val="20"/>
                <w:color w:val="auto"/>
              </w:rPr>
            </w:pPr>
            <w:r>
              <w:rPr>
                <w:rFonts w:ascii="Times New Roman" w:cs="Times New Roman" w:eastAsia="Times New Roman" w:hAnsi="Times New Roman"/>
                <w:sz w:val="18"/>
                <w:szCs w:val="18"/>
                <w:b w:val="1"/>
                <w:bCs w:val="1"/>
                <w:color w:val="auto"/>
              </w:rPr>
              <w:t>Percent</w:t>
            </w:r>
            <w:r>
              <w:rPr>
                <w:rFonts w:ascii="Times New Roman" w:cs="Times New Roman" w:eastAsia="Times New Roman" w:hAnsi="Times New Roman"/>
                <w:sz w:val="29"/>
                <w:szCs w:val="29"/>
                <w:b w:val="1"/>
                <w:bCs w:val="1"/>
                <w:color w:val="auto"/>
                <w:vertAlign w:val="superscript"/>
              </w:rPr>
              <w:t>(1)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Discovery Capital Management, LLC</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10,958,700</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13,440,860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10,958,700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after this offering is calculated based on 299,498,878 shares of common stock outstanding as of October 22,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held in the accounts of Discovery Global Opportunity Master Fund, Ltd. and Discovery Global Beacon Partners LP. Discovery Capital Management, LLC (“Discovery”) acts as the investment manager for each account and Robert Citrone acts as the managing member of Discovery. Mr. Citrone and Discovery may each be deemed to have investment discretion and voting power over the securities. This disclosure shall not be construed as an admission that Mr. Citrone, Discovery or any of the Discovery related entities listed above is the beneficial owner of any securities of the Company other than the securities actually owned by such person (if any). The business address of each of Mr. Citrone, Discovery and the Discovery related entities listed above is 20 Marshall Street, Suite 310, South Norwalk, CT 06854.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registering for resale by the Selling Stockholder of up to 13,440,860 shares of common stock to permit the Selling Stockholder to conduct public secondary trading of these securities from time to time after the date of this prospectus supplement. The Selling Stockholder may offer, sell, transfer, distribute, or otherwise dispose of all or a portion of the Conversion Shares issued to it upon conversion of the Convertible Notes publicly or through private transactions at fixed prices, prevailing market prices or at negotiated prices, or at market prices prevailing at the time of sale. We will not receive any of the proceeds of the sale of any Conversion Shares offered by the Selling Stockholder. The aggregate proceeds to the Selling Stockholder from the sale of any Conversion Shares will be the purchase price of such Conversion Shares less any discounts and commissions. We are paying certain expenses (other than commissions and discounts of underwriters, brokers, dealers or agents) incidental to the offering and sale of the Conversion Shares covered by this prospectus supplement by the Selling Stockholder to the public. The Selling Stockholder reserves the right to accept and, together with its agents, to reject, any proposed purchases of Conversion Shares to be made directly or through agents.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Conversion Shares offered by the Selling Stockholder may be sold from time to time to purchasers: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Stockholder,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Stockholder or the purchasers of such Conversion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any Conversion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supplement available to the Selling Stockholder for the purpose of satisfying the prospectus delivery requirements of the Securities Act. To our knowledge, there are currently no plans, arrangements or understandings between the Selling Stockholder and any underwriter, broker-dealer or agent regarding the sale of the securities by the Selling Stockholder.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Conversion Sharees may be sold in one or more transactions at:</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 subject to the terms of the note purchase agreement for the Convertible Notes: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 including NYSE;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common stock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employees, partners or shareholders;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on which the registration statement of which this prospectus supplement forms a part is declared effective by the SEC;</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 to sell a specified number of such common stock at a stipulated price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time a particular offering of Conversion Shares is made, a prospectus supplement may be distributed, which will set forth the name of the Selling Stockholder, the aggregate amount of Conversion Shares being offered and the terms of the offering, including, to the extent required, (1) the name or names of any underwriters, broker-dealers or agents, (2) any discounts, commissions and other terms constituting compensation from the Selling Stockholder and (3) any discounts, commissions or concessions allowed or reallowed to be paid to broker-dealers. We may suspend the sale of Securities by the Selling Stockholder pursuant to this prospectus supplement for certain periods of time for certain reasons, including if the prospectus supplement is required to be supplemented or amended to include additional material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 and/or any related free writing prospectus.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any offered Conversion Shares will be set forth in the applicable prospectus supplement and/or any related free writing prospectus relating to each offer.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Stockholder will act independently of us in making decisions with respect to the timing, manner, and size of each resale or other transfer. There can be no assurance that the Selling Stockholder will sell any or all of the Conversion Shares under this prospectus supplement. Further, we cannot assure you that the Selling Stockholder will not transfer, distribute, devise or gift any Conversion Shares by other means not described in this prospectus supplement. In addition, any Conversion Shares covered by this prospectus supplement that qualify for sale under Rule 144 of the Securities Act may be sold under Rule 144 rather than under this prospectus supplement. The Conversion Shares may be sold in some states only through registered or licensed brokers or dealers. In addition, in some states the Conversion Shares may not be sold unless they have been registered or qualified for sale or an exemption from registration or qualification is available and complied with.</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the sale of any Conversion Shares will be subject to the Exchange Act. The Exchange Act rules include, without limitation, Regulation M, which may limit the timing of purchases and sales of any of the Conversion Shares by the Selling Stockholder and any other person. In addition, Regulation M may restrict the ability of any person engaged in the distribution of any Conversion Shares to engage in market-making activities with respect to our common stock.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may affect the marketability of the Conversion Shares and the ability of any person or entity to engage in market-making activities with respect to our common stock.</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Stockholder may, from time to time, pledge or grant a security interest in some of the Conversion Shares owned by it and, if the Selling Stockholder defaults in the performance of its secured obligations, the pledgees or secured parties may offer and sell such Conversion Shares from time to time under this prospectus supplement or under a post-effective amendment to the registration statement of which this prospectus supplement forms a part or any accompanying prospectus supplement amending the list of the Selling Stockholder to include the pledgee, transferee or other successors in interest as the Selling Stockholder under this prospectus supplement. The Selling Stockholder also may transfer any Conversion Shares in other circumstances, in which case the transferees, pledgees or other successors in interest will be the selling beneficial owners for purposes of this prospectus supplement.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expenses of registration, see the section titled “Use of Proceeds” appearing elsewhere in this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Conversion Shares offered hereby has been passed upon for T1 Energy by Skadden, Arps, Slate, Meagher &amp; Flom LLP, Houston, Texas.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T1 Energy Inc. as of December 31, 2025, and for the year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2024 and for the fiscal year ended December 31, 2024 (before the effects of the adjustments to retrospectively present the reclassification of certain amounts that had previously been classified as held for sale and were reclassified as held and used as of December 31, 2025) incorporated in this prospectus supplement by reference to the Annual Report on Form 10-K for the year ended December 31, 2025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Conversion Shares. This prospectus supplement, which constitutes part of the registration statement, does not contain all of the information set forth in the registration statement and its exhibits. For further information with respect to us and the Conversion Shares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Our SEC filings are available to the public at the SEC’s website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information we file with the SEC in other documents. This means that we can disclose important information to you by referring to another document we filed with the SEC. The information relating to us contained in this prospectus supplement should be read together with the information in the documents incorporated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spacing w:after="0" w:line="176"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4">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31, 2026 and April 30, 2026, respectively;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quarterly periods ended March 31, 2026 and June 30, 2026, filed with the SEC on </w:t>
      </w:r>
      <w:hyperlink r:id="rId35">
        <w:r>
          <w:rPr>
            <w:rFonts w:ascii="Times New Roman" w:cs="Times New Roman" w:eastAsia="Times New Roman" w:hAnsi="Times New Roman"/>
            <w:sz w:val="18"/>
            <w:szCs w:val="18"/>
            <w:u w:val="single" w:color="auto"/>
            <w:color w:val="0000EE"/>
          </w:rPr>
          <w:t>May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u w:val="single" w:color="auto"/>
            <w:color w:val="0000EE"/>
          </w:rPr>
          <w:t>August 12,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61" w:lineRule="exact"/>
        <w:rPr>
          <w:rFonts w:ascii="Times New Roman" w:cs="Times New Roman" w:eastAsia="Times New Roman" w:hAnsi="Times New Roman"/>
          <w:sz w:val="18"/>
          <w:szCs w:val="18"/>
          <w:color w:val="0000EE"/>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37">
        <w:r>
          <w:rPr>
            <w:rFonts w:ascii="Times New Roman" w:cs="Times New Roman" w:eastAsia="Times New Roman" w:hAnsi="Times New Roman"/>
            <w:sz w:val="18"/>
            <w:szCs w:val="18"/>
            <w:u w:val="single" w:color="auto"/>
            <w:color w:val="0000EE"/>
          </w:rPr>
          <w:t>January 21, 2026</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February 6, 2026</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March 31,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5.02), </w:t>
      </w:r>
      <w:hyperlink r:id="rId41">
        <w:r>
          <w:rPr>
            <w:rFonts w:ascii="Times New Roman" w:cs="Times New Roman" w:eastAsia="Times New Roman" w:hAnsi="Times New Roman"/>
            <w:sz w:val="18"/>
            <w:szCs w:val="18"/>
            <w:u w:val="single" w:color="auto"/>
            <w:color w:val="0000EE"/>
          </w:rPr>
          <w:t>April 17, 2026</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April 27, 2026</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June 8,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June 17,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June 29,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July 28,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Items 1.01, 1.02, 2.01 and 3.02), </w:t>
      </w:r>
      <w:hyperlink r:id="rId47">
        <w:r>
          <w:rPr>
            <w:rFonts w:ascii="Times New Roman" w:cs="Times New Roman" w:eastAsia="Times New Roman" w:hAnsi="Times New Roman"/>
            <w:sz w:val="18"/>
            <w:szCs w:val="18"/>
            <w:u w:val="single" w:color="auto"/>
            <w:color w:val="0000EE"/>
          </w:rPr>
          <w:t>July 28,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with respect to Item 8.01), </w:t>
      </w:r>
      <w:hyperlink r:id="rId48">
        <w:r>
          <w:rPr>
            <w:rFonts w:ascii="Times New Roman" w:cs="Times New Roman" w:eastAsia="Times New Roman" w:hAnsi="Times New Roman"/>
            <w:sz w:val="18"/>
            <w:szCs w:val="18"/>
            <w:u w:val="single" w:color="auto"/>
            <w:color w:val="0000EE"/>
          </w:rPr>
          <w:t>July 30, 2026</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July 31, 2026</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August 7, 2026</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August 28, 2026</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September 29,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 xml:space="preserve">October 6,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October 21, 2026</w:t>
        </w:r>
      </w:hyperlink>
      <w:r>
        <w:rPr>
          <w:rFonts w:ascii="Times New Roman" w:cs="Times New Roman" w:eastAsia="Times New Roman" w:hAnsi="Times New Roman"/>
          <w:sz w:val="18"/>
          <w:szCs w:val="18"/>
          <w:color w:val="000000"/>
        </w:rPr>
        <w:t>;</w:t>
      </w:r>
    </w:p>
    <w:p>
      <w:pPr>
        <w:spacing w:after="0" w:line="179" w:lineRule="exact"/>
        <w:rPr>
          <w:rFonts w:ascii="Times New Roman" w:cs="Times New Roman" w:eastAsia="Times New Roman" w:hAnsi="Times New Roman"/>
          <w:sz w:val="18"/>
          <w:szCs w:val="18"/>
          <w:color w:val="0000EE"/>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definitive Proxy Statement on </w:t>
      </w:r>
      <w:hyperlink r:id="rId5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May 18, 2026;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set forth in our Current Report on </w:t>
      </w:r>
      <w:hyperlink r:id="rId56">
        <w:r>
          <w:rPr>
            <w:rFonts w:ascii="Times New Roman" w:cs="Times New Roman" w:eastAsia="Times New Roman" w:hAnsi="Times New Roman"/>
            <w:sz w:val="18"/>
            <w:szCs w:val="18"/>
            <w:u w:val="single" w:color="auto"/>
            <w:color w:val="0000EE"/>
          </w:rPr>
          <w:t>Form 8-K12B</w:t>
        </w:r>
      </w:hyperlink>
      <w:r>
        <w:rPr>
          <w:rFonts w:ascii="Times New Roman" w:cs="Times New Roman" w:eastAsia="Times New Roman" w:hAnsi="Times New Roman"/>
          <w:sz w:val="18"/>
          <w:szCs w:val="18"/>
          <w:color w:val="auto"/>
        </w:rPr>
        <w:t xml:space="preserve">, filed with the SEC on January 2, 2024, as updated by the description of the Company’s common stock contained in </w:t>
      </w:r>
      <w:hyperlink r:id="rId57">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31, 2026, including any amendments or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 supplement.</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is considered to be part of this prospectus supplement, and information that we file later with the SEC and incorporate by reference in this prospectus supplement will automatically update and supersede this previously filed information, as applicable, including information in previously filed documents or reports that have been incorporated by reference into this prospectus supplement. Any statement so modified or superseded will not be deemed, except as so modified or superseded, to constitute a part of this prospectus supplement.</w:t>
      </w:r>
    </w:p>
    <w:p>
      <w:pPr>
        <w:spacing w:after="0" w:line="180" w:lineRule="exact"/>
        <w:rPr>
          <w:rFonts w:ascii="Times New Roman" w:cs="Times New Roman" w:eastAsia="Times New Roman" w:hAnsi="Times New Roman"/>
          <w:sz w:val="18"/>
          <w:szCs w:val="18"/>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incorporated by reference in this prospectus supplement, other than exhibits to such documents unless such exhibits are specifically incorporated by reference into such documents. Requests may be made by telephone at 409-599-5706, or by sending a written request to T1 Energy Inc., 1211 E 4th St. Austin, Texas 78702, Attention: Jeffery Spittel. Exhibits to any documents incorporated by reference in this prospectus supplement will not be sent, however, unless those exhibits have specifically been incorporated by reference into such documents.</w:t>
      </w:r>
    </w:p>
    <w:p>
      <w:pPr>
        <w:spacing w:after="0" w:line="187"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authorized anyone else to provide you with different information. You should not assume that the information in this prospectus supplement is accurate as of any date other than the date on the front of those documents or as of any earlier date as of which such information is given.</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T1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163830</wp:posOffset>
            </wp:positionV>
            <wp:extent cx="1157605"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11576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issue and sell, together or separately:</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(as defined herein);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which may be issued in one or more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issued in one or more series and which may be senior debt securities or subordinated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our common stock, shares of our preferred stock or our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our common stock, shares of our preferred stock or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units comprised of two or more of the securities described in this prospectus, in any combination.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selling securityholders to be identified in supplements to this prospectus may offer and sell these securities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AND YOU SHOULD READ THIS PROSPECTUS AND ANY ACCOMPANYING PROSPECTUS SUPPLEMENT BEFORE YOU INVEST. SEE “RISK FACTORS” BEGINNING ON PAGE 2 OF THIS PROSPECTUS AND ANY SIMILAR SECTION INCLUDED IN ANY ACCOMPANYING PROSPECTUS SUPPLEMENT AND IN THE DOCUMENTS INCORPORATED BY REFERENCE IN THIS PROSPECTUS. YOU SHOULD CAREFULLY CONSIDER THESE FACTORS BEFORE MAKING YOUR INVESTMENT DECISION.</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80" w:lineRule="exact"/>
        <w:rPr>
          <w:sz w:val="20"/>
          <w:szCs w:val="20"/>
          <w:color w:val="auto"/>
        </w:rPr>
      </w:pPr>
    </w:p>
    <w:p>
      <w:pPr>
        <w:jc w:val="both"/>
        <w:ind w:firstLine="701"/>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(as defined herein) are listed on the New York Stock Exchange (“NYSE”) under the symbols “TE” and “TE WS,” respectively. On January 20, 2026, the closing price of our common stock was $8.28 and the closing price of our Public Warrants was $1.65. Each prospectus supplement will indicate if the securities offered thereby will be listed on any securities exchange.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tcBorders>
              <w:bottom w:val="single" w:sz="8" w:color="CCEEFF"/>
            </w:tcBorders>
            <w:gridSpan w:val="11"/>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ind w:left="21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00" w:type="dxa"/>
            <w:vAlign w:val="bottom"/>
          </w:tcPr>
          <w:p>
            <w:pPr>
              <w:ind w:left="208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7320" w:type="dxa"/>
            <w:vAlign w:val="bottom"/>
            <w:tcBorders>
              <w:bottom w:val="single" w:sz="8" w:color="CCEEFF"/>
            </w:tcBorders>
            <w:gridSpan w:val="15"/>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6"/>
        </w:trPr>
        <w:tc>
          <w:tcPr>
            <w:tcW w:w="86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760" w:type="dxa"/>
            <w:vAlign w:val="bottom"/>
            <w:tcBorders>
              <w:bottom w:val="single" w:sz="8" w:color="CCEEFF"/>
            </w:tcBorders>
            <w:gridSpan w:val="9"/>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EXISTING WARRANTS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33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NEW WARRANTS</w:t>
            </w:r>
          </w:p>
        </w:tc>
        <w:tc>
          <w:tcPr>
            <w:tcW w:w="5280" w:type="dxa"/>
            <w:vAlign w:val="bottom"/>
            <w:tcBorders>
              <w:top w:val="single" w:sz="8" w:color="CCEEFF"/>
            </w:tcBorders>
            <w:gridSpan w:val="5"/>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5160" w:type="dxa"/>
            <w:vAlign w:val="bottom"/>
            <w:tcBorders>
              <w:bottom w:val="single" w:sz="8" w:color="CCEEFF"/>
            </w:tcBorders>
            <w:gridSpan w:val="4"/>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UNITS</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6120" w:type="dxa"/>
            <w:vAlign w:val="bottom"/>
            <w:tcBorders>
              <w:bottom w:val="single" w:sz="8" w:color="CCEEFF"/>
            </w:tcBorders>
            <w:gridSpan w:val="10"/>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6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tcBorders>
              <w:top w:val="single" w:sz="8" w:color="CCEEFF"/>
            </w:tcBorders>
            <w:gridSpan w:val="14"/>
          </w:tcPr>
          <w:p>
            <w:pPr>
              <w:spacing w:after="0"/>
              <w:rPr>
                <w:sz w:val="15"/>
                <w:szCs w:val="15"/>
                <w:color w:val="auto"/>
              </w:rPr>
            </w:pPr>
          </w:p>
        </w:tc>
        <w:tc>
          <w:tcPr>
            <w:tcW w:w="2600" w:type="dxa"/>
            <w:vAlign w:val="bottom"/>
            <w:tcBorders>
              <w:top w:val="single" w:sz="8" w:color="CCEEFF"/>
            </w:tcBorders>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5"/>
        </w:trPr>
        <w:tc>
          <w:tcPr>
            <w:tcW w:w="86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0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600" w:type="dxa"/>
            <w:vAlign w:val="bottom"/>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are filing with the SEC utilizing a “shelf” registration process as a “well-known seasoned issuer,” as defined in Rule 405 under the Securities Act of 1933, as amended (the “Securities Act”). Under this shelf registration process, we or selling securityholders may offer and sell, in one or more offerings, together or separately, the securities described in this prospectus. There is no limit on the aggregate number or amount of securities we may sell pursuant to the registration statement of which this prospectus is a part. This prospectus provides you with a general description of the securities we or selling securityholders may offer.</w:t>
      </w:r>
    </w:p>
    <w:p>
      <w:pPr>
        <w:spacing w:after="0" w:line="183" w:lineRule="exact"/>
        <w:rPr>
          <w:sz w:val="20"/>
          <w:szCs w:val="20"/>
          <w:color w:val="auto"/>
        </w:rPr>
      </w:pPr>
    </w:p>
    <w:p>
      <w:pPr>
        <w:jc w:val="both"/>
        <w:ind w:firstLine="709"/>
        <w:spacing w:after="0" w:line="253" w:lineRule="auto"/>
        <w:rPr>
          <w:sz w:val="20"/>
          <w:szCs w:val="20"/>
          <w:color w:val="auto"/>
        </w:rPr>
      </w:pPr>
      <w:r>
        <w:rPr>
          <w:rFonts w:ascii="Times New Roman" w:cs="Times New Roman" w:eastAsia="Times New Roman" w:hAnsi="Times New Roman"/>
          <w:sz w:val="18"/>
          <w:szCs w:val="18"/>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If there is any inconsistency between the information in this prospectus and any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We urge you to read carefully this prospectus, any applicable prospectus supplement and any free writing prospectuses we may authorize for use in connection with a specific offering, together with the information incorporated herein by reference as described under the sections titled “Where You Can Find More Information” and “Incorporation of Certain Documents by Reference,” before buying any of the securities being offered.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any applicable prospectus supplement, along with the information contained in any related free writing prospectuses we have authorized for use in connection with a specific offering. Neither we nor any selling securityholder has authorized any other person to provide you with different or additional information. If anyone provides you with different or inconsistent information, you should not rely on it. Neither we nor any selling securityholder takes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that we may authorize for use in connection with this offering is accurate only as of the date on the front of such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More Information.”</w:t>
      </w:r>
    </w:p>
    <w:p>
      <w:pPr>
        <w:spacing w:after="0" w:line="183" w:lineRule="exact"/>
        <w:rPr>
          <w:sz w:val="20"/>
          <w:szCs w:val="20"/>
          <w:color w:val="auto"/>
        </w:rPr>
      </w:pPr>
    </w:p>
    <w:p>
      <w:pPr>
        <w:jc w:val="both"/>
        <w:ind w:right="20" w:firstLine="708"/>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stated or unless the context otherwise requires: references to the “Company,” “T1 Energy,” the “registrant,” “we,” “our,” “us” and similar terms are to T1 Energy Inc., a Delaware corporation, and where appropriate, its wholly-owned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including the information and documents incorporated by reference herein and therein, contain forward-looking statements within the meaning of Section 27A of the Securities Act and Section 21E of the Securities Exchange Act of 1934, as amended (the “Exchange Act”). All statements other than statements of historical or current facts contained or incorporated by reference in this prospectus or any accompanying prospectus supplement may be forward-looking statements. Statements regarding our future results and timing of operations, expected performance and financial position, business strategy and plans and objectives of management for future operations, including, among others, statements regarding expected results and benefits arising from the business combination with Trina Solar (Schweiz) AG (“Trina”),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prospectus and any accompanying prospectus supplement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factors include, but are not limited to, the factors set forth under the heading “Risk Factors” in our most recent Annual Report on Form 10-K and in our subsequent Quarterly Reports on Form 10-Q. These factors include, but are not limited to, risks related to: (1) our ability to (i) construct and equip manufacturing facilities in a timely and cost-effective manner; (ii) 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and (viii) remediate the material weakness in our internal control over financial reporting or otherwise maintain effective internal control over financial reporting; (2) the concentration of our operations in Texas and our dependence on a limited number of suppliers; (3) changes adversely affecting the flow of components and materials from international vendors, the costs of raw materials, components, equipment, and machinery;</w:t>
      </w:r>
    </w:p>
    <w:p>
      <w:pPr>
        <w:spacing w:after="0" w:line="2" w:lineRule="exact"/>
        <w:rPr>
          <w:sz w:val="20"/>
          <w:szCs w:val="20"/>
          <w:color w:val="auto"/>
        </w:rPr>
      </w:pPr>
    </w:p>
    <w:p>
      <w:pPr>
        <w:jc w:val="both"/>
        <w:ind w:firstLine="8"/>
        <w:spacing w:after="0" w:line="253" w:lineRule="auto"/>
        <w:tabs>
          <w:tab w:leader="none" w:pos="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changes in applicable laws or regulations, including environmental, export control and tax laws and incentives and renewable energy targets, as well as international trade policies, including tariffs, on our products and our competitive position; (5) the outcome of any legal proceedings relating to our products and services, including intellectual property or product liability claims, commercial or contractual disputes, warranty claims, and other proceedings; and (6) the capital-intensive nature of our business and our ability to raise additional capital on attractive terms or service our debt.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or any accompanying prospectus supplement, or the documents incorporated by reference herein or therein,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187"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and the documents incorporated by reference herein and therein,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or, in the case of the accompanying prospectus supplement or the documents incorporated by reference herein or therein, the date of any such document. Except as required by applicable law, we do not plan to publicly update or revise any forward-looking statement, whether as a result of any new information, future events or otherwise.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T1 Energy is an energy solutions provider building an integrated U.S. supply chain for solar and batteries. We manufacture and sell photovoltaic (“PV”) solar modules in the United States for our U.S. customers.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one of the leading solar manufacturing companies in the United States. Our PV solar module manufacturing facility in Wilmer, TX is operating and has an installed base of five gigawatts per annum. We believe our facility is one of the most technologically advanced PV solar module plants globally. T1 Energy produces PV solar modules that employ highly energy efficient Passivated Emitter and Rear Contact and Tunnel Oxide Passivated Contact technologies. We believe the superior performance characteristics of the PV solar modules that we manufacture and our domestic content will competitively differentiate T1 Energy in the U.S. market.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executing a phased development of the G2_Austin solar cell facility in Rockdale, Texas, which is expected to begin producing cells by the end of 2026, and create up to 1,800 full-time jobs.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mailing address of our registered and principal executive office is 1211 E 4th St. Austin, Texas 78702. The telephone number of our registered and principal executive office is 409-599-5706. Our investor relations website is located at </w:t>
      </w:r>
      <w:r>
        <w:rPr>
          <w:rFonts w:ascii="Times New Roman" w:cs="Times New Roman" w:eastAsia="Times New Roman" w:hAnsi="Times New Roman"/>
          <w:sz w:val="18"/>
          <w:szCs w:val="18"/>
          <w:i w:val="1"/>
          <w:iCs w:val="1"/>
          <w:color w:val="auto"/>
        </w:rPr>
        <w:t>https://ir.t1energy.com/</w:t>
      </w:r>
      <w:r>
        <w:rPr>
          <w:rFonts w:ascii="Times New Roman" w:cs="Times New Roman" w:eastAsia="Times New Roman" w:hAnsi="Times New Roman"/>
          <w:sz w:val="18"/>
          <w:szCs w:val="18"/>
          <w:color w:val="auto"/>
        </w:rPr>
        <w:t xml:space="preserve">, and its news site located at </w:t>
      </w:r>
      <w:r>
        <w:rPr>
          <w:rFonts w:ascii="Times New Roman" w:cs="Times New Roman" w:eastAsia="Times New Roman" w:hAnsi="Times New Roman"/>
          <w:sz w:val="18"/>
          <w:szCs w:val="18"/>
          <w:i w:val="1"/>
          <w:iCs w:val="1"/>
          <w:color w:val="auto"/>
        </w:rPr>
        <w:t>https://ir.t1energy.com/news-releases/news-releases</w:t>
      </w:r>
      <w:r>
        <w:rPr>
          <w:rFonts w:ascii="Times New Roman" w:cs="Times New Roman" w:eastAsia="Times New Roman" w:hAnsi="Times New Roman"/>
          <w:sz w:val="18"/>
          <w:szCs w:val="18"/>
          <w:color w:val="auto"/>
        </w:rPr>
        <w:t>, our X (f/k/a Twitter) account is located at https://x.com/T1_Energy, our LinkedIn account is located at https://www.linkedin.com/company/t1energy, and our Instagram account is located at https://www.instagram.com/t1_energy/. We use our investor relations website, our X account and our LinkedIn account as well as Daniel Barcelo’s X account (https://x.com/_danielbarcelo), LinkedIn account (https://www.linkedin.com/in/daniel-barcelo-b262a939/) and Instagram account (</w:t>
      </w:r>
      <w:r>
        <w:rPr>
          <w:rFonts w:ascii="Times New Roman" w:cs="Times New Roman" w:eastAsia="Times New Roman" w:hAnsi="Times New Roman"/>
          <w:sz w:val="18"/>
          <w:szCs w:val="18"/>
          <w:i w:val="1"/>
          <w:iCs w:val="1"/>
          <w:color w:val="auto"/>
        </w:rPr>
        <w:t>https://www.instagram.com/danbarcelo/</w:t>
      </w:r>
      <w:r>
        <w:rPr>
          <w:rFonts w:ascii="Times New Roman" w:cs="Times New Roman" w:eastAsia="Times New Roman" w:hAnsi="Times New Roman"/>
          <w:sz w:val="18"/>
          <w:szCs w:val="18"/>
          <w:color w:val="auto"/>
        </w:rPr>
        <w: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our X account and our LinkedIn account, in addition to following press releases, SEC filings and public conference calls and webcasts. Our website, X account and our LinkedIn account, and the information contained therein, or that can be accessed through the website, is not deemed to be incorporated by reference in, and is not considered part of, this prospectus or any accompanying prospectus supplement, and you should not consider it a part of this prospectus or any accompanying prospectus supplement.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decide whether to purchase any of our securities, in addition to the other information, documents or reports included or incorporated by reference into this prospectus and any accompanying prospectus supplement or other offering materials (including any free writing prospectus), you should carefully consider the risk factors described in the section titled “Risk Factors” in any prospectus supplement or free writing prospectus, our most recent Annual Report on Form 10-K, any Quarterly Reports on Form 10-Q and Current Reports on Form 8-K filed subsequent to such Annual Report on Form 10-K, each of which is incorporated by reference into this prospectus and any accompanying prospectus supplement in its entirety, and as the same may be amended, supplemented or superseded from time to time by our filings under the Exchange Act. For more information, see the sections titled “Where You Can Find Additional Information” and “Incorporation of Certain Documents by Reference” of this prospectus. These risks could materially and adversely affect our business, financial condition or operating results and could result in a partial or complete loss of your investment. Furthermore, additional risks and uncertainties not presently known to us, or that we currently deem immaterial, may also affect our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 Unless otherwise set forth in a prospectus supplement, we will not receive any proceeds in connection with any sale of securities by a selling securityholder.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717"/>
        <w:spacing w:after="0" w:line="266"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or selling securityholders may offer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Company’s securities and is not intended to be a complete summary of the rights and preferences of such securities. The Company’s Amended and Restated Certificate of Incorporation, as amended (the “Certificate of Incorporation”), and Third Amended and Restated Bylaws (the “Bylaws”) are incorporated by reference into this prospectus. Read the applicable provisions of Delaware law, the Certificate of Incorporation, the Bylaws and the Certificates of Designations (as defined herein) in their entirety for a complete description of the rights and preferences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T1 Energy’s authorized capital stock consists of (i) 500,000,000 shares of common stock, par value $0.01 per share (the “common stock”), and (ii) 10,000,000 shares of preferred stock, par value $0.01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prior dividend rights of the holders of any preferred stock of T1 Energy and any other class or series of shares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as to dividends over common stock, holders of shares of common stock are entitled to receive dividends when, as and if declared by the T1 Energy board of directors, out of funds legally available for that purpose.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outstanding share of common stock is entitled to one vote per share on each matter to be voted on by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The holders of common stock are not entitled to cumulative voting of their shares in elections of directors.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In the event of any liquidation, dissolution or winding up (either voluntary of involuntary) of T1 Energy,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T1 Energy’s common stock is currently listed on the NYSE under the symbol “TE.”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T1 Energy’s Certificate of Incorporation expressly authorizes T1 Energy’s board of directors to provide for the issuance of all or any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T1 Energy; or (iv) convertible into, or exchangeable for, shares of any other class or classes of stock, or of any other series of the same or any other class or classes of stock, of T1 Energy at such price or prices or at such rates of exchange and with such adjustments; all as may be stated in such resolution or resolutions. The issuance of preferred stock may have the effect of diluting the earnings per share and book value per share of common stock. In addition, the T1 Energy board of directors may issue preferred stock with voting rights or conversion rights that, if exercised, could adversely affect the voting power of the holders of common stock.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Number and Designation</w:t>
      </w:r>
    </w:p>
    <w:p>
      <w:pPr>
        <w:spacing w:after="0" w:line="227" w:lineRule="exact"/>
        <w:rPr>
          <w:sz w:val="20"/>
          <w:szCs w:val="20"/>
          <w:color w:val="auto"/>
        </w:rPr>
      </w:pPr>
    </w:p>
    <w:p>
      <w:pPr>
        <w:jc w:val="both"/>
        <w:ind w:firstLine="697"/>
        <w:spacing w:after="0" w:line="253" w:lineRule="auto"/>
        <w:rPr>
          <w:sz w:val="20"/>
          <w:szCs w:val="20"/>
          <w:color w:val="auto"/>
        </w:rPr>
      </w:pPr>
      <w:r>
        <w:rPr>
          <w:rFonts w:ascii="Times New Roman" w:cs="Times New Roman" w:eastAsia="Times New Roman" w:hAnsi="Times New Roman"/>
          <w:sz w:val="18"/>
          <w:szCs w:val="18"/>
          <w:color w:val="auto"/>
        </w:rPr>
        <w:t>We filed the certificates of designations (the “Certificates of Designations”), designating (i) 1,600,000 shares of our preferred stock as “Series B Convertible Non-Voting Preferred Stock,” par value $0.01 per share, and (ii) 5,000,000 shares of our preferred stock as “Series B-1 Convertible Non-Voting Preferred Stock,” par value $0.01 per share. The number of shares of each such series may be increased or decreased by resolution of the T1 Energy board of directors; provided that no decrease shall reduce the number of shares of the respective series to a number less than that of the shares then outstanding. On October 31, 2025, T1 Energy entered into an Amended and Restated Stock Purchase Agreement (the “Stock Purchase Agreement”) with certain purchasers pursuant to which, in partial consideration for the redemption and cancellation of all then-issued and outstanding shares of T1 Energy’s Convertible Series A Preferred Stock, par value $0.01 per share (the “Series A Preferred Stock”), the purchasers agreed to purchase (i) 21,504,901 shares of common stock and (ii) 1,600,000 shares of T1 Energy’s Series B Convertible Non-Voting Preferred Stock, par value $0.01 per share (the “Series B Preferred Stock”). The purchasers also agreed to purchase 5,000,000 shares of T1 Energy’s Series B-1 Convertible Non-Voting Preferred Stock, par value $0.01 per share (the “Series B-1 Preferred Stock” and together with the Series B Preferred Stock, the “Outstanding Preferred Stock,” which represent all of the shares of preferred stock currently outstanding), at a price of $10.00 per share of Series B-1 Preferred Stock, for aggregate gross proceeds to T1 Energy of $50.0 million. The shares of Outstanding Preferred Stock have all of the rights, preferences and privileges set forth below and as more fully described in the Certificates of Designations.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Liquidation Preference</w:t>
      </w:r>
    </w:p>
    <w:p>
      <w:pPr>
        <w:spacing w:after="0" w:line="227" w:lineRule="exact"/>
        <w:rPr>
          <w:sz w:val="20"/>
          <w:szCs w:val="20"/>
          <w:color w:val="auto"/>
        </w:rPr>
      </w:pPr>
    </w:p>
    <w:p>
      <w:pPr>
        <w:jc w:val="both"/>
        <w:ind w:firstLine="708"/>
        <w:spacing w:after="0" w:line="266" w:lineRule="auto"/>
        <w:rPr>
          <w:sz w:val="20"/>
          <w:szCs w:val="20"/>
          <w:color w:val="auto"/>
        </w:rPr>
      </w:pPr>
      <w:r>
        <w:rPr>
          <w:rFonts w:ascii="Times New Roman" w:cs="Times New Roman" w:eastAsia="Times New Roman" w:hAnsi="Times New Roman"/>
          <w:sz w:val="18"/>
          <w:szCs w:val="18"/>
          <w:color w:val="auto"/>
        </w:rPr>
        <w:t>The Outstanding Preferred Stock issued under the Stock Purchase Agreement ranks senior to the common stock but junior to all existing and future debt obligations of T1 Energy and has a liquidation preference equal to $10.00 per share of Outstanding Preferred Stock plus accrued but unpaid dividends.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subject to the rights of holders of any senior securities and after satisfaction of all liabilities and obligations to creditors of T1 Energy, before any distribution is made to holders of shares of junior securities, the holders of the Outstanding Preferred Stock will be entitled to receive liquidating distributions in the amount that is the greater of (i) the aggregate liquidation preference per share of Outstanding Preferred Stock and (ii) the amount of cash to which a holder would be entitled to receive in a liquidation with respect to such shares if they had been converted to common stock immediately prior to such liquidation.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share of then-issued Series B Preferred Stock shall be convertible, at the option of the holders thereof, into shares of common stock (the “Underlying Shares”), up to an aggregate of 9,411,764 shares of common stock, in whole and not in part (subject to certain exceptions set forth in the Series B Certificate of Designations), based on a conversion price of $1.70 per share of common stock, assuming no accrued and unpaid dividends.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share of then-issued Series B-1 Preferred Stock shall be convertible, at the option of the holders thereof, into Underlying Shares, up to an aggregate of 26,315,789 shares of common stock, in whole and not in part (subject to certain exceptions set forth in the Series B-1 Certificate of Designations), based on the conversion price of $1.90 per share of common stock if the 10-Day VWAP (as defined in the Series B-1 Certificate of Designations) of the common stock immediately prior to the conversion date is $2.50 or more per share of common stock (being the greater of the conversion prices for the Series B-1 Preferred Stock), and assuming no accrued and unpaid dividends; the conversion price of the Series B-1 Preferred Stock will be reduced to $1.70 per share of common stock in the event that the 10-Day VWAP of the common stock immediately prior to the conversion date is less than $2.50 per share of common stock. Upon such reduction of the conversion price, each share of the then-issued Series B-1 Preferred Stock will be convertible into approximately 5.88 shares of common stock, up to an aggregate of approximately 29,411,764 shares of common stock, in whole and not in part (subject to certain exceptions set forth in the Series B-1 Certificate of Designations), based on the reduced conversion price (subject to dilution adjustments), and holders can expect to receive additional Underlying Shares as compared to the conversion price of $1.90 for the Series B-1 Preferred Stock.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between the date of the Series B-1 Certificate of Designations and one year following the issuance of the Series B-1 Preferred Stock, T1 Energy issues any shares of any series of preferred stock with a conversion price for converting shares of such series of preferred stock into shares of common stock that is lower than the then applicable Series B-1 Conversion Price (such lower conversion price being referred to as the “Lower Conversion Price”) the Series B-1 Conversion Price shall automatically be adjusted to equal the Lower Conversion Price; provided, however, that in no event shall the Lower Conversion Price be adjusted to an amount below $1.05.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case of a stock split or similar event effected by T1 Energy, the conversion price shall be proportionally decreased so that the number of shares of common stock issuable on conversion of each share of such series shall be increased in proportion to such increase in the aggregate number of shares of common stock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Outstanding Preferred Stock is prohibited from converting shares of Outstanding Preferred Stock into shares of common stock if, as a result of such conversion, such holder, together with its affiliates, would beneficially own more than 19.99% of the total number of shares of common stock issued and outstanding immediately after giving effect to such conversion.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firstLine="700"/>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event in which T1 Energy is not the surviving or resulting corporation, the holders of Outstanding Preferred Stock will be entitled to receive the greater of: (i) the aggregate liquidation preference of the Outstanding Preferred Stock outstanding, including any accrued and unpaid dividends thereon to the closing date of the change of control event, and (ii) the amount of consideration that would be payable or issuable in such change of control transaction to a holder of the number of shares of common stock into which the shares of Outstanding Preferred Stock are convertible by their terms as of the closing date of the change of control event, provided that the holders will receive the same form of consideration to be received by holders of common stock in such change of control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Redemption</w:t>
      </w:r>
    </w:p>
    <w:p>
      <w:pPr>
        <w:spacing w:after="0" w:line="227" w:lineRule="exact"/>
        <w:rPr>
          <w:sz w:val="20"/>
          <w:szCs w:val="20"/>
          <w:color w:val="auto"/>
        </w:rPr>
      </w:pPr>
    </w:p>
    <w:p>
      <w:pPr>
        <w:jc w:val="both"/>
        <w:ind w:firstLine="710"/>
        <w:spacing w:after="0" w:line="258" w:lineRule="auto"/>
        <w:rPr>
          <w:sz w:val="20"/>
          <w:szCs w:val="20"/>
          <w:color w:val="auto"/>
        </w:rPr>
      </w:pPr>
      <w:r>
        <w:rPr>
          <w:rFonts w:ascii="Times New Roman" w:cs="Times New Roman" w:eastAsia="Times New Roman" w:hAnsi="Times New Roman"/>
          <w:sz w:val="18"/>
          <w:szCs w:val="18"/>
          <w:color w:val="auto"/>
        </w:rPr>
        <w:t>The Series B Preferred Stock has a maturity date of December 23, 2027 (the “Series B Maturity Date”). On the Series B Maturity Date, T1 Energy shall redeem the then-outstanding Series B Preferred Stock at $10.00 per share (up to an aggregate amount of $16.0 million assuming all shares of Series B Preferred Stock are fully issued and outstanding at the time of redemption) plus any accrued and unpaid dividends. Prior to the Series B Maturity Date, the Series B Preferred Stock will not be redeemable. In any case of redemption of shares of Series B Preferred Stock, T1 Energy shall, not less than 30 nor more than 60 days before the Series B Maturity Date, send to each holder notice of its intention to redeem such shares of Series B Preferred Stock.</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Series B-1 Preferred Stock has a maturity date of December 23, 2027 (the “Series B-1 Maturity Date”). On the Series B-1 Maturity Date, T1 Energy shall redeem the then-outstanding Preferred Stock at $10.00 per share (up to an aggregate amount of $50.0 million assuming all shares of Series B-1 Preferred Stock are fully issued and outstanding at the time of redemption) plus any accrued and unpaid dividends. Prior to the Series B-1 Maturity Date, the Series B-1 Preferred Stock will not be redeemable. In any case of redemption of shares of Series B-1 Preferred Stock, T1 Energy shall, not less than 30 nor more than 60 days before the Series B-1 Maturity Date, send to each holder notice of its intention to redeem such shares of Series B-1 Preferred Stock.</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Outstanding Preferred Stock is not subject to any restriction on the repurchase or redemption of shares T1 Energy due to an arrearage in the payment of dividends or sinking fund installments.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Outstanding Preferred Stock carries a dividend rate of 6%, accruing on their issuance and payable in arrears (i) on the dividend date 18 months after their issuance (ii) every six months after such dividend payment date. Dividends may be payable in cash, securities or other property as may be determined by T1 Energy’s board of directors or any of its duly authorized committees. Any dividends will be paid net of any required withholding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customary representations and warranties, closing conditions and terms were included in the Stock Purchase Agreement and the Certificates of Designations.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Ownership Limitation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7701(a)(51)(E)(iii) of the Internal Revenue Code of 1986, as amended (the “Code”), an entity that is a publicly traded company or a subsidiary of a publicly traded company is a foreign-influenced entity if, during the taxable year, one or more Specified Foreign Entities that are each required to report their beneficial ownership under Rule 13d-3 of the Exchange Act own, in the aggregate, not less than 40% of such entity (the “Aggregated Equity Test”).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2025, T1 Energy’s Certificate of Incorporation was amended to establish a restriction of ownership of T1 Energy’s capital stock by Specified Foreign Entities in order to 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T1 Energy is authorized to effect any and all measures and to make any and all determinations reasonably necessary or desirable (consistent with applicable laws, the Certificate of Incorporation and the Bylaws) to, without limitation:</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share transfer records of T1 Energy in such a manner so that the percentage of any class of shares of T1 Energy’s common stock or preferred stock that is owned by Specified Foreign Entities can be determined and confirmed;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transfer of T1 Energy’s common or preferred stock that does not comply with the Certificate of Incorporation will be void and ineffective as against T1 Energy.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in this prospectus,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T1 Energy has entered into a registration rights agreement with Trina pursuant to which we granted Trina certain registration rights with respect to the shares of common stock that are owned by Trina.</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Stock Purchase Agreement, T1 Energy agreed to provide certain registration rights with respect to the securities issued pursuant to such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DGCL Section 203</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spacing w:after="0" w:line="176"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shares of T1 Energy and any entity or person affiliated with or controlling or controlled by the entity or person.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 and Powers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 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 or public disclosure of the date of the special meeting of stockholders was made, whichever first occurs.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T1 Energy Bylaws provide that special meetings of stockholders, for any purpose or purposes, may be called only by (i) 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Derivative 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our common stock and preferred stock could render more difficult or discourage an attempt to obtain control over T1 Energy by means of a proxy contest, tender offer, merger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Supermajority Approval Requirements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our bylaws and certificate of incorporation could enable a minority of our stockholders to exercise veto power over any such amendments.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our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of Personal Liability of Directors/Officers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DGCL, no such elimination of liability is permitted (i) for any breach of the director’s duty of loyalty to T1 Energy or its stockholders,</w:t>
      </w:r>
    </w:p>
    <w:p>
      <w:pPr>
        <w:spacing w:after="0" w:line="27" w:lineRule="exact"/>
        <w:rPr>
          <w:sz w:val="20"/>
          <w:szCs w:val="20"/>
          <w:color w:val="auto"/>
        </w:rPr>
      </w:pPr>
    </w:p>
    <w:p>
      <w:pPr>
        <w:ind w:firstLine="8"/>
        <w:spacing w:after="0" w:line="260"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Our stockholders will not be deemed to have waived our compliance with the federal securities laws and the rules and regulations thereunder.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 Accordingly, actions by our stockholders to enforce any duty or liability created by the Exchange Act or the rules and regulations thereunder must be brought in federal court.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capital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the indenture, dated as of December 16, 2025 (the “indenture”), between us and U.S. Bank Trust Company, National Association, as trustee. A copy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225" w:lineRule="exact"/>
        <w:rPr>
          <w:rFonts w:ascii="Times New Roman" w:cs="Times New Roman" w:eastAsia="Times New Roman" w:hAnsi="Times New Roman"/>
          <w:sz w:val="18"/>
          <w:szCs w:val="18"/>
          <w:color w:val="auto"/>
        </w:rPr>
      </w:pPr>
    </w:p>
    <w:p>
      <w:pPr>
        <w:ind w:left="980" w:right="7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EXISTING WARRANTS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existing warrants is not intended to be a complete summary of the rights and preferences of such securities. Read the applicable provisions of the Certificate of Incorporation, the Bylaws and the Warrant-related documents described herein in their entirety for a complete description of the rights and preferences of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229"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As of September 30, 2025, public warrants to purchase 14,674,894 shares of common stock (the “Public Warrants”), private warrants to purchase 9,950,000 shares of common stock (the “Private Warrants”) and a penny warrant to purchase 7,000,000 shares of common stock (the “Penny Warrant”) were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 and Private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Public Warrants and Private Warrants are issued pursuant to that certain amended and restated warrant agreement, dated July 7, 2021 (as amended, the “Amended Warrant Agreement”), by and among Alussa Energy Acquisition Corp., a Cayman Islands exempted company (“Alussa”), FREYR Battery, a public limited liability company (société anonyme) incorporated under the laws of Luxembourg, T1 Energy and Continental Stock Transfer and Trust Company. The Amended Warrant Agreement is incorporated by reference into this prospectus. You should review the copy of the Amended Warrant Agreement for a complete description of the terms and conditions applicable to the Public Warrants and Private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common stock at a price of $11.50 per share, subject to adjustment as discussed below, at any time. Pursuant to the Amended Warrant Agreement, a warrant holder may exercise its Public Warrants only for a whole number of shares of common stock. This means that only a whole warrant may be exercised at any given time by a warrant holder. The Public Warrants will expire on July 9, 2026 at 5:00 p.m., New York City time, or earlier upon redemption or liquidation.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T1 Energy will not be obligated to deliver any common stock pursuant to the exercise of a Public Warrant and will have no obligation to settle such Public Warrant exercise unless a registration statement under the Securities Act with respect to the common stock underlying the Public Warrant is then effective and a prospectus relating thereto is current, subject to T1 Energy satisfying its obligations described below with respect to registration. No Public Warrant will be exercisable for cash or on a cashless basis, and T1 Energy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Public Warrant will not be entitled to exercise such Public Warrant and such Public Warrant may have no value and expire worthless.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Once the Public Warrants become exercisable, T1 Energy may redeem the outstanding Public Warrants:</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which we refer to as the 30-day redemption period, to each warrant holder;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common stock equals or exceeds $18.00 per share (as adjusted for share splits, share capitalizations, rights issuances, subdivisions, reorganizations, recapitalizations and the like) for any 20 trading days within a 30-trading day period ending on the third trading day prior to the date on which T1 Energy sends the notice of redemption to the warrant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T1 Energy established the last of the redemption criterion discussed above to prevent a redemption call unless there is at the time of the call a significant premium to the Public Warrant exercise price. If the foregoing conditions are satisfied and T1 Energy issues a notice of redemption of the Public Warrants, each warrant holder will be entitled to exercise his, her or its Public Warrant prior to the scheduled redemption date. However, the price of the common stock may fall below the $18.00 redemption trigger price as well as the $11.50 Public Warrant exercise price after the redemption notice is issued. T1 Energy will not redeem the Public Warrants unless a registration statement under the Securities Act covering the shares of common stock issuable upon exercise of the Public Warrants is effective and a current prospectus relating to those shares of common stock is available throughout the 30-day redemption period, except if the Public Warrants may be exercised on a cashless basis and such cashless exercise is exempt from registration under the Securities Act. If and when the Public Warrants become redeemable by T1 Energy, T1 Energy may not exercise its redemption right if the issuance of shares upon exercise of the Public Warrants is not exempt from registration or qualification under applicable state blue sky laws or it is unable to effect such registration or qualification.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T1 Energy calls the Public Warrants for redemption as described above, T1 Energy’s management will have the option to require all holders that wish to exercise Public Warrants to do so on a “cashless basis.” In determining whether to require all holders to exercise their Public Warrants on a “cashless basis,” T1 Energy’s management will consider, among other factors, its cash position, the number of Public Warrants that are outstanding and the dilutive effect on its stockholders of issuing the maximum number of shares of common stock issuable upon the exercise of its Public Warrants. In such event, each holder would pay the exercise price by surrendering the Public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the Public Warrants, provided that in all cases, the exercise price shall correspond to at least the accounting par value of the common stock. If T1 Energy takes advantage of this option, the notice of redemption will contain the information necessary to calculate the number of common stock to be received upon exercise of the Public Warrants, including the “fair market value” in such case. Requiring a cashless exercise in this manner will reduce the number of shares to be issued and thereby lessen the dilutive effect of a Public Warrant redemption. If T1 Energy’s management calls the Public Warrants for redemption and its management does not take advantage of this option, Alussa Energy Sponsor LLC (the “Sponsor”) and its permitted transferees would still be entitled to exercise their Private Warrants for cash or on a cashless basis using the same formula described above that other warrant holders would have been required to use had all warrants holders been required to exercise their Public Warrants on a cashless basis, as described in more detail below.</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T1 Energy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common stock outstanding immediately after giving effect to such exercise.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common stock is increased by a capitalization payable in, or by a sub-division of common stock or other similar event, then, on the effective date of such capitalization, sub-division or similar event, the number of shares of common stock issuable on exercise of each Public Warrant will be increased in proportion to such increase in the issued and outstanding shares of common stock. A rights offering to holders of common stock entitling holders to purchase shares of common stock at a price less than the fair market value will be deemed a capitalization of a number of shares of common stock equal to the product of (i) the number of common stock actually sold in such rights offering (or issuable under any other equity securities sold in such rights offering that are convertible into or exercisable for shares of common stock) multiplied by (ii) one minus the quotient of (x) the price per share of our common stock paid in such rights offering divided by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our common stock as reported during the ten trading day period ending on the trading day prior to the first date on which the shares of common stock trade on the applicable exchange or in the applicable market, regular way, without the right to receive such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issued and outstanding shares of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issued and outstanding shares of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common stock (other than those described above or that solely affects the par value of such shares of common stock), or in the case of any merger or consolidation of T1 Energy with or into another corporation (other than a consolidation or merger in which T1 Energy is the continuing corporation and that does not result in any reclassification or reorganization of T1 Energy’s issued and outstanding common stock), or in the case of any sale or conveyance to another corporation or entity of the assets or other property of T1 Energy as an entirety or substantially as an entirety in connection with which T1 Energy is liquidated and dissolved, the holders of the Public Warrants will thereafter have the right to purchase and receive, upon the basis and upon the terms and conditions specified in the Public Warrants and in lieu of T1 Energy’s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Alussa in connection with redemption rights held by shareholders of Alussa as provided for in Alussa’s amended and restated memorandum and articles of association)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Amended Warrant Agreement based on the per share consideration minus Black-Scholes Warrant Value (as defined in the Amended Warrant Agreement) of the Public Warrant.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are currently listed on the NYSE under the symbol “TE 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are not redeemable by T1 Energy and will be exercisable on a cashless basis so long as they are held by the Sponsor or its permitted transferees. Otherwise, the Private Warrants have terms and provisions that are identical to those of the Public Warrants. If the Private Warrants are held by holders other than the Sponsor or their permitted transferees, the Private Warrants will be redeemable by T1 Energy and exercisable by the holders on the same basis as Public Warrants.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Warrant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a warrant agreement, dated September 10, 2025 (the “Penny Warrant Agreement”), between T1 Energy and Stellar Hann Investment Ltd., we issued a Penny Warrant to purchase 7,000,000 shares of common stock, having an exercise price of $0.01 per share, subject to adjustment as provided therein, to Stellar Hann Investment Ltd. The Penny Warrant to purchase up to an aggregate of 7,000,000 shares of our common stock fully vests and becomes exercisable, in whole or in part, on March 10, 2026, and will expire on September 10, 2030. No fraction of a share of common stock will be issued upon any exercise of the Penny Warrant. In lieu of paying the exercise price, the holder may surrender a number of shares of common stock having a fair market value equal to the aggregate exercise price.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is subject to adjustment as provided under the Penny Warrant Agreement. In the event T1 Energy subdivides or reclassifies its outstanding shares of common stock into a greater number of shares of common stock or declares and pays a distribution on the shares of common stock payable in additional shares of common stock, the exercise price, as then in effect, shall be proportionately reduced, and T1 Energy shall proportionately increase the number of shares of common stock then issuable upon exercise under the Penny Warrant (and not previously exercised). If, prior to the expiration of the Penny Warrant, T1 Energy consolidates or reclassifies its outstanding shares of common stock into a lesser number of shares of common stock, the exercise price, as then in effect, shall be proportionately increased, and T1 Energy shall proportionately reduce the number of shares of common stock then issuable upon exercise under the Penny Warrant (and not previously exercised).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Penny Warrant Agreement, no holder of the Penny Warrant shall have or exercise any rights held by holders of common stock solely by virtue thereof as a holder of the Penny Warrant, including the right to vote and to receive dividends and other distributions as a holder of common stock prior to the issuance to the holder of the Penny Warrant of the shares of common stock which such holder is then entitled to receive upon the due exercise of the Penny Warrant.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Penny Warrant Agreement does not permit any transfer of the Penny Warrant and may not be amended to permit such transfer without our consent. The Penny Warrant Agreement includes customary registration rights requiring us to file and keep effective a resale registration statement registering the resale of the Penny Warrant and shares of common stock underlying the Penny Warrant. Other customary representations and warranties and terms were included in the Penny Warrant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NEW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prospectus supplement relating to a particular issue of warrants will describe the terms of those warrants, which may include, when applicable:</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warrants expire they will become void. The accompanying prospectus supplement may provide for the adjustment of the exercise price of the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and “Incorporation of Certain Documents by Reference.” We urge you to read the applicable warrant agreement and any accompanying prospectus supplement in their entirety.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securityholder.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may offer will contain the specific terms of the subscription rights. These terms may include the following: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each share of common stock or preferred stock or debt securities which may be purchased per each subscription right;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share of common stock or preferred stock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subscription rights or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subscription rights.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and “Incorporation of Certain Documents by Reference.” We urge you to read the applicable subscription rights certificate, the applicable subscription rights agreement and any accompanying prospectus supplement in their entirety.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PURCHASE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purchase units comprised of two or more of the securities described in this prospectus, in any combination. Each purchase unit will be issued so that the holder of the purchase unit is also the holder of each security included in the purchase unit. Thus, the holder of a purchase unit will have the rights and obligations of a holder of each included security. The purchase units or the purchase unit or other agreement, if any, under which a purchase unit is issued may provide that the securities included in the purchase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purchase units will describe, among other things:</w:t>
      </w:r>
    </w:p>
    <w:p>
      <w:pPr>
        <w:spacing w:after="0" w:line="225" w:lineRule="exact"/>
        <w:rPr>
          <w:sz w:val="20"/>
          <w:szCs w:val="20"/>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comprising the purchase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related to the issuance, payment, settlement, transfer or exchange of the purchase units or of the securities comprising the purchase units;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provisions of the purchase units or governing unit or other agreement, if 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in various private transactions. Such selling securityholders may be parties to a registration rights agreement with us, or we otherwise may have agreed or will agree to register their securities for resale. The initial purchasers of our securities, as well as their transferees, pledgees, donees or successors, all of whom we refer to as “selling securityholders,” may from time to time offer and sell the securities pursuant to this prospectus and any applicable prospectus supplement.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set forth the name of each selling securityholder and the number of and type of securities beneficially owned by such selling securityholder that are covered by such prospectus supplement. The applicable prospectus supplement also will disclose whether any of the selling securityholders have held any position or office with, have been employed by or otherwise have had a material relationship with us during the three years prior to the date of the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the applicable prospectus supplement or free writing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or the selling securityholders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securityholders or others to settle such sales and may use securities received from us to close out any related short positions. We or the selling securityholders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or the selling securityholders will identify the specific plan of distribution, including any underwriters, dealers, agents or direct purchasers and their compensation in a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the validity of the securities that may be issued or resold under this prospectus will be passed upon for T1 Energy by Skadden, Arps, Slate, Meagher &amp; Flom LLP, Houston, Texas. Skadden, Arps, Slate, Meagher &amp; Flom LLP may also provide opinions regarding certain other matters. Any underwriters will be advised about legal matters by their own counsel, which will be named in an accompanying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2024 have been so incorporated in reliance on the report of PricewaterhouseCoopers AS, an independent registered public accounting firm, given on the authority of said firm as experts in auditing and accounting. PricewaterhouseCoopers AS is a member of Den norske Revisorforening.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Current Report on Form 8-K/A filed with the SEC on March 10, 2025 have been so incorporated in reliance on the report of RSM China CPA LLP, an independent registered public accounting firm, given on the authority of said firm as experts in auditing and accounting.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our securities offered by this prospectus. The registration statement,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its rules and regulations. The Exchange Act requires us to file reports and other information with the SEC. The SEC maintains a website that contains reports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our Annual Reports on Form 10-K, Quarterly Reports on Form 10-Q, Current Reports on Form 8-K and amendments to these reports filed or furnished pursuant to Section 13(a), 14 or 15(d) of the Exchange Act, as soon as reasonably practicable after we electronically file these documents with, or furnish them to, the SEC. These documents are also posted on our website at </w:t>
      </w:r>
      <w:r>
        <w:rPr>
          <w:rFonts w:ascii="Times New Roman" w:cs="Times New Roman" w:eastAsia="Times New Roman" w:hAnsi="Times New Roman"/>
          <w:sz w:val="18"/>
          <w:szCs w:val="18"/>
          <w:i w:val="1"/>
          <w:iCs w:val="1"/>
          <w:color w:val="auto"/>
        </w:rPr>
        <w:t>https://t1energy.com/</w:t>
      </w:r>
      <w:r>
        <w:rPr>
          <w:rFonts w:ascii="Times New Roman" w:cs="Times New Roman" w:eastAsia="Times New Roman" w:hAnsi="Times New Roman"/>
          <w:sz w:val="18"/>
          <w:szCs w:val="18"/>
          <w:color w:val="auto"/>
        </w:rPr>
        <w:t>. Any references in this prospectus to our website are inactive textual references only, and the information contained on or that can be accessed through our website (except for the SEC filings expressly incorporated by reference herein) is not incorporated in, and is not a part of, this prospectus.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file with the SEC in other documents. This means that we can disclose important information to you by referring to another document we filed with the SEC.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 (other than any document or portion of any document furnished or deemed furnished and not filed in accordance with SEC rules, including Items 2.02 and 7.01 of Form 8-K and Item 9.01 related thereto):</w:t>
      </w:r>
    </w:p>
    <w:p>
      <w:pPr>
        <w:spacing w:after="0" w:line="176" w:lineRule="exact"/>
        <w:rPr>
          <w:sz w:val="20"/>
          <w:szCs w:val="20"/>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9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4">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31, 2025 and April 30, 2025, respectively;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000000"/>
        </w:rPr>
      </w:pPr>
      <w:hyperlink r:id="rId95">
        <w:r>
          <w:rPr>
            <w:rFonts w:ascii="Times New Roman" w:cs="Times New Roman" w:eastAsia="Times New Roman" w:hAnsi="Times New Roman"/>
            <w:sz w:val="18"/>
            <w:szCs w:val="18"/>
            <w:color w:val="auto"/>
          </w:rPr>
          <w:t xml:space="preserve">Quarterly Reports on Form 10-Q and Form 10-Q/A for the quarterly period ended March 31, 2025, filed with the SEC on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August 18, 2025</w:t>
        </w:r>
      </w:hyperlink>
      <w:hyperlink r:id="rId95">
        <w:r>
          <w:rPr>
            <w:rFonts w:ascii="Times New Roman" w:cs="Times New Roman" w:eastAsia="Times New Roman" w:hAnsi="Times New Roman"/>
            <w:sz w:val="18"/>
            <w:szCs w:val="18"/>
            <w:color w:val="000000"/>
          </w:rPr>
          <w:t>, respectively, for the quarterly period ended June 30, 2025, filed with the SEC on</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August 19, 2025</w:t>
        </w:r>
      </w:hyperlink>
      <w:hyperlink r:id="rId95">
        <w:r>
          <w:rPr>
            <w:rFonts w:ascii="Times New Roman" w:cs="Times New Roman" w:eastAsia="Times New Roman" w:hAnsi="Times New Roman"/>
            <w:sz w:val="18"/>
            <w:szCs w:val="18"/>
            <w:color w:val="000000"/>
          </w:rPr>
          <w:t>, and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quarterly period ended September 30, 2025, filed with the SEC on </w:t>
      </w:r>
      <w:hyperlink r:id="rId98">
        <w:r>
          <w:rPr>
            <w:rFonts w:ascii="Times New Roman" w:cs="Times New Roman" w:eastAsia="Times New Roman" w:hAnsi="Times New Roman"/>
            <w:sz w:val="18"/>
            <w:szCs w:val="18"/>
            <w:u w:val="single" w:color="auto"/>
            <w:color w:val="0000EE"/>
          </w:rPr>
          <w:t>November 14, 2025</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00"/>
        </w:rPr>
      </w:pPr>
    </w:p>
    <w:p>
      <w:pPr>
        <w:jc w:val="both"/>
        <w:ind w:left="980" w:hanging="324"/>
        <w:spacing w:after="0" w:line="256" w:lineRule="auto"/>
        <w:tabs>
          <w:tab w:leader="none" w:pos="980" w:val="left"/>
        </w:tabs>
        <w:numPr>
          <w:ilvl w:val="0"/>
          <w:numId w:val="24"/>
        </w:numPr>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auto"/>
          </w:rPr>
          <w:t xml:space="preserve">Current Reports on Form 8-K and Form 8-K/A, as applicable, filed with the SEC on </w:t>
        </w:r>
        <w:r>
          <w:rPr>
            <w:rFonts w:ascii="Times New Roman" w:cs="Times New Roman" w:eastAsia="Times New Roman" w:hAnsi="Times New Roman"/>
            <w:sz w:val="18"/>
            <w:szCs w:val="18"/>
            <w:u w:val="single" w:color="auto"/>
            <w:color w:val="0000EE"/>
          </w:rPr>
          <w:t>February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19,</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9,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Item 8.01 only),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28,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0000EE"/>
        </w:rPr>
        <w:t xml:space="preserve"> </w:t>
      </w:r>
      <w:hyperlink r:id="rId10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June 26,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July 3,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u w:val="single" w:color="auto"/>
            <w:color w:val="0000EE"/>
          </w:rPr>
          <w:t>August 5,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August 14,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5">
        <w:r>
          <w:rPr>
            <w:rFonts w:ascii="Times New Roman" w:cs="Times New Roman" w:eastAsia="Times New Roman" w:hAnsi="Times New Roman"/>
            <w:sz w:val="18"/>
            <w:szCs w:val="18"/>
            <w:u w:val="single" w:color="auto"/>
            <w:color w:val="0000EE"/>
          </w:rPr>
          <w:t>August 15,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6">
        <w:r>
          <w:rPr>
            <w:rFonts w:ascii="Times New Roman" w:cs="Times New Roman" w:eastAsia="Times New Roman" w:hAnsi="Times New Roman"/>
            <w:sz w:val="18"/>
            <w:szCs w:val="18"/>
            <w:u w:val="single" w:color="auto"/>
            <w:color w:val="0000EE"/>
          </w:rPr>
          <w:t>August 18, 2025</w:t>
        </w:r>
      </w:hyperlink>
      <w:hyperlink r:id="rId10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7">
        <w:r>
          <w:rPr>
            <w:rFonts w:ascii="Times New Roman" w:cs="Times New Roman" w:eastAsia="Times New Roman" w:hAnsi="Times New Roman"/>
            <w:sz w:val="18"/>
            <w:szCs w:val="18"/>
            <w:u w:val="single" w:color="auto"/>
            <w:color w:val="0000EE"/>
          </w:rPr>
          <w:t xml:space="preserve">August 20, 2025 </w:t>
        </w:r>
      </w:hyperlink>
      <w:hyperlink r:id="rId100">
        <w:r>
          <w:rPr>
            <w:rFonts w:ascii="Times New Roman" w:cs="Times New Roman" w:eastAsia="Times New Roman" w:hAnsi="Times New Roman"/>
            <w:sz w:val="18"/>
            <w:szCs w:val="18"/>
            <w:color w:val="000000"/>
          </w:rPr>
          <w:t>(with respect to</w:t>
        </w:r>
      </w:hyperlink>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color w:val="000000"/>
          </w:rPr>
          <w:t xml:space="preserve">Item 5.02 only), </w:t>
        </w:r>
        <w:r>
          <w:rPr>
            <w:rFonts w:ascii="Times New Roman" w:cs="Times New Roman" w:eastAsia="Times New Roman" w:hAnsi="Times New Roman"/>
            <w:sz w:val="18"/>
            <w:szCs w:val="18"/>
            <w:u w:val="single" w:color="auto"/>
            <w:color w:val="0000EE"/>
          </w:rPr>
          <w:t>September 4,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 5,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 11,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October 22, 2025</w:t>
        </w:r>
        <w:r>
          <w:rPr>
            <w:rFonts w:ascii="Times New Roman" w:cs="Times New Roman" w:eastAsia="Times New Roman" w:hAnsi="Times New Roman"/>
            <w:sz w:val="18"/>
            <w:szCs w:val="18"/>
            <w:color w:val="000000"/>
          </w:rPr>
          <w:t xml:space="preserve"> (with respect to Item 8.01 only), </w:t>
        </w:r>
        <w:r>
          <w:rPr>
            <w:rFonts w:ascii="Times New Roman" w:cs="Times New Roman" w:eastAsia="Times New Roman" w:hAnsi="Times New Roman"/>
            <w:sz w:val="18"/>
            <w:szCs w:val="18"/>
            <w:u w:val="single" w:color="auto"/>
            <w:color w:val="0000EE"/>
          </w:rPr>
          <w:t>October 23,</w:t>
        </w:r>
      </w:hyperlink>
      <w:r>
        <w:rPr>
          <w:rFonts w:ascii="Times New Roman" w:cs="Times New Roman" w:eastAsia="Times New Roman" w:hAnsi="Times New Roman"/>
          <w:sz w:val="18"/>
          <w:szCs w:val="18"/>
          <w:color w:val="000000"/>
        </w:rPr>
        <w:t xml:space="preserve"> </w:t>
      </w:r>
      <w:hyperlink r:id="rId10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9">
        <w:r>
          <w:rPr>
            <w:rFonts w:ascii="Times New Roman" w:cs="Times New Roman" w:eastAsia="Times New Roman" w:hAnsi="Times New Roman"/>
            <w:sz w:val="18"/>
            <w:szCs w:val="18"/>
            <w:u w:val="single" w:color="auto"/>
            <w:color w:val="0000EE"/>
          </w:rPr>
          <w:t xml:space="preserve">October 24, 2025 </w:t>
        </w:r>
      </w:hyperlink>
      <w:hyperlink r:id="rId108">
        <w:r>
          <w:rPr>
            <w:rFonts w:ascii="Times New Roman" w:cs="Times New Roman" w:eastAsia="Times New Roman" w:hAnsi="Times New Roman"/>
            <w:sz w:val="18"/>
            <w:szCs w:val="18"/>
            <w:color w:val="000000"/>
          </w:rPr>
          <w:t>(with respect to Item 8.01 only),</w:t>
        </w:r>
        <w:r>
          <w:rPr>
            <w:rFonts w:ascii="Times New Roman" w:cs="Times New Roman" w:eastAsia="Times New Roman" w:hAnsi="Times New Roman"/>
            <w:sz w:val="18"/>
            <w:szCs w:val="18"/>
            <w:color w:val="0000EE"/>
          </w:rPr>
          <w:t xml:space="preserve"> </w:t>
        </w:r>
      </w:hyperlink>
      <w:hyperlink r:id="rId110">
        <w:r>
          <w:rPr>
            <w:rFonts w:ascii="Times New Roman" w:cs="Times New Roman" w:eastAsia="Times New Roman" w:hAnsi="Times New Roman"/>
            <w:sz w:val="18"/>
            <w:szCs w:val="18"/>
            <w:u w:val="single" w:color="auto"/>
            <w:color w:val="0000EE"/>
          </w:rPr>
          <w:t>October 31, 2025</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1">
        <w:r>
          <w:rPr>
            <w:rFonts w:ascii="Times New Roman" w:cs="Times New Roman" w:eastAsia="Times New Roman" w:hAnsi="Times New Roman"/>
            <w:sz w:val="18"/>
            <w:szCs w:val="18"/>
            <w:u w:val="single" w:color="auto"/>
            <w:color w:val="0000EE"/>
          </w:rPr>
          <w:t>December 5, 2025</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2">
        <w:r>
          <w:rPr>
            <w:rFonts w:ascii="Times New Roman" w:cs="Times New Roman" w:eastAsia="Times New Roman" w:hAnsi="Times New Roman"/>
            <w:sz w:val="18"/>
            <w:szCs w:val="18"/>
            <w:u w:val="single" w:color="auto"/>
            <w:color w:val="0000EE"/>
          </w:rPr>
          <w:t>December 15, 2025</w:t>
        </w:r>
      </w:hyperlink>
      <w:hyperlink r:id="rId10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 xml:space="preserve">December 16, 2025 </w:t>
        </w:r>
      </w:hyperlink>
      <w:hyperlink r:id="rId108">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December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87" w:lineRule="exact"/>
        <w:rPr>
          <w:rFonts w:ascii="Times New Roman" w:cs="Times New Roman" w:eastAsia="Times New Roman" w:hAnsi="Times New Roman"/>
          <w:sz w:val="18"/>
          <w:szCs w:val="18"/>
          <w:color w:val="0000EE"/>
        </w:rPr>
      </w:pPr>
    </w:p>
    <w:p>
      <w:pPr>
        <w:jc w:val="both"/>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set forth in our Current Report on </w:t>
      </w:r>
      <w:hyperlink r:id="rId115">
        <w:r>
          <w:rPr>
            <w:rFonts w:ascii="Times New Roman" w:cs="Times New Roman" w:eastAsia="Times New Roman" w:hAnsi="Times New Roman"/>
            <w:sz w:val="18"/>
            <w:szCs w:val="18"/>
            <w:u w:val="single" w:color="auto"/>
            <w:color w:val="0000EE"/>
          </w:rPr>
          <w:t>Form 8-K12B</w:t>
        </w:r>
      </w:hyperlink>
      <w:r>
        <w:rPr>
          <w:rFonts w:ascii="Times New Roman" w:cs="Times New Roman" w:eastAsia="Times New Roman" w:hAnsi="Times New Roman"/>
          <w:sz w:val="18"/>
          <w:szCs w:val="18"/>
          <w:color w:val="auto"/>
        </w:rPr>
        <w:t xml:space="preserve">, filed with the SEC on January 2, 2024, as updated by the description of the Company’s common stock contained in </w:t>
      </w:r>
      <w:hyperlink r:id="rId116">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9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31, 2025, including any amendments or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 and supplement the information provided in this prospectus.</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relating to us contained in this prospectus should be read together with the information in the documents incorporated by reference. Information that we file subsequent to the date of this prospectus with the SEC will automatically update and supersede the information contained in documents filed earlier with the SEC or contained in this prospectus, including information in previously filed documents or reports that have been incorporated by reference into this prospectus. Any statement so modified or superseded will not be deemed, except as so modified or superseded,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obtain copies, without charge, of documents incorporated by reference in this prospectus, by requesting them orally or in writing. To receive any such copy, call or write:</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T1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1211 E 4th St.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Austin, Texas 78702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Jeffery Spittel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409-599-5706</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T1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Common Stock, par</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13,440,860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$ 29,166,666.20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0.0000870</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2,537.50</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value $0.01 per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Common Stock, par</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457(r)</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value $0.01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6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gridSpan w:val="7"/>
            <w:vMerge w:val="continue"/>
          </w:tcPr>
          <w:p>
            <w:pPr>
              <w:spacing w:after="0"/>
              <w:rPr>
                <w:sz w:val="16"/>
                <w:szCs w:val="16"/>
                <w:color w:val="auto"/>
              </w:rPr>
            </w:pPr>
          </w:p>
        </w:tc>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7"/>
              </w:rPr>
              <w:t>$ 29,166,666.20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2,537.50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2,537.50</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Rule 416 under the Securities Act of 1933, as amended, this prospectus supplement also covers such additional shares as may hereafter be offered or issued with respect to the shares registered hereby resulting from stock splits, stock dividends, recapitalizations or similar capital adjustments.</w:t>
      </w:r>
    </w:p>
    <w:p>
      <w:pPr>
        <w:spacing w:after="0" w:line="175" w:lineRule="exact"/>
        <w:rPr>
          <w:rFonts w:ascii="Times New Roman" w:cs="Times New Roman" w:eastAsia="Times New Roman" w:hAnsi="Times New Roman"/>
          <w:sz w:val="18"/>
          <w:szCs w:val="18"/>
          <w:color w:val="auto"/>
        </w:rPr>
      </w:pPr>
    </w:p>
    <w:p>
      <w:pPr>
        <w:jc w:val="both"/>
        <w:ind w:left="360" w:hanging="1"/>
        <w:spacing w:after="0" w:line="266" w:lineRule="auto"/>
        <w:tabs>
          <w:tab w:leader="none" w:pos="6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457(a) in accordance with Rule 457(r), solely for the purpose of calculating the registration fee, on the basis of the average of the high and low sales prices for the Common Stock on October 26, 2026, as reported on the New York Stock Exchange, in accordance with Rule 457(c).</w:t>
      </w:r>
    </w:p>
    <w:p>
      <w:pPr>
        <w:spacing w:after="0" w:line="175" w:lineRule="exact"/>
        <w:rPr>
          <w:rFonts w:ascii="Times New Roman" w:cs="Times New Roman" w:eastAsia="Times New Roman" w:hAnsi="Times New Roman"/>
          <w:sz w:val="18"/>
          <w:szCs w:val="18"/>
          <w:color w:val="auto"/>
        </w:rPr>
      </w:pPr>
    </w:p>
    <w:p>
      <w:pPr>
        <w:ind w:left="360" w:hanging="1"/>
        <w:spacing w:after="0" w:line="282" w:lineRule="auto"/>
        <w:tabs>
          <w:tab w:leader="none" w:pos="6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424(g)(2) and General Instruction II.F to Form S-3, this prospectus supplement shall be deemed a final prospectus for purposes of the offering of the securities described herein.</w:t>
      </w:r>
    </w:p>
    <w:p>
      <w:pPr>
        <w:spacing w:after="0" w:line="53" w:lineRule="exact"/>
        <w:rPr>
          <w:rFonts w:ascii="Times New Roman" w:cs="Times New Roman" w:eastAsia="Times New Roman" w:hAnsi="Times New Roman"/>
          <w:sz w:val="18"/>
          <w:szCs w:val="18"/>
          <w:color w:val="auto"/>
        </w:rPr>
      </w:pPr>
    </w:p>
    <w:p>
      <w:pPr>
        <w:jc w:val="both"/>
        <w:ind w:left="360" w:right="20" w:hanging="292"/>
        <w:spacing w:after="0" w:line="266" w:lineRule="auto"/>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T1 Energy initially deferred payment of all registration fees for the Registration Statement on Form S-3 (Registration No. 333-292857), filed on January 21, 2026. This filing fee exhibit is in connection with a final prospectus supplement dated October 30, 2026, filed by T1 Energy with the SEC pursuant to Rule 424(b) of the Securities Act.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4"/>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jpe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117"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33" Type="http://schemas.openxmlformats.org/officeDocument/2006/relationships/hyperlink" Target="http://www.sec.gov/ix?doc=/Archives/edgar/data/1992243/000199224326000007/t1-20251231.htm" TargetMode="External"/><Relationship Id="rId34" Type="http://schemas.openxmlformats.org/officeDocument/2006/relationships/hyperlink" Target="http://www.sec.gov/ix?doc=/Archives/edgar/data/1992243/000121390026049667/ea0288125-10ka1_t1energy.htm" TargetMode="External"/><Relationship Id="rId35" Type="http://schemas.openxmlformats.org/officeDocument/2006/relationships/hyperlink" Target="https://www.sec.gov/ix?doc=/Archives/edgar/data/1992243/000199224326000014/t1-20260331.htm" TargetMode="External"/><Relationship Id="rId36" Type="http://schemas.openxmlformats.org/officeDocument/2006/relationships/hyperlink" Target="https://www.sec.gov/ix?doc=/Archives/edgar/data/1992243/000199224326000022/t1-20260630.htm" TargetMode="External"/><Relationship Id="rId37" Type="http://schemas.openxmlformats.org/officeDocument/2006/relationships/hyperlink" Target="http://www.sec.gov/ix?doc=/Archives/edgar/data/1992243/000121390026006322/ea0273074-8k_t1energy.htm" TargetMode="External"/><Relationship Id="rId38" Type="http://schemas.openxmlformats.org/officeDocument/2006/relationships/hyperlink" Target="http://www.sec.gov/ix?doc=/Archives/edgar/data/1992243/000121390026013301/ea0275957-8k_t1energy.htm" TargetMode="External"/><Relationship Id="rId39" Type="http://schemas.openxmlformats.org/officeDocument/2006/relationships/hyperlink" Target="http://www.sec.gov/ix?doc=/Archives/edgar/data/1992243/000121390026017944/ea0277444-8k_t1energy.htm" TargetMode="External"/><Relationship Id="rId40" Type="http://schemas.openxmlformats.org/officeDocument/2006/relationships/hyperlink" Target="http://www.sec.gov/ix?doc=/Archives/edgar/data/1992243/000121390026036817/ea0284268-8k_t1energy.htm" TargetMode="External"/><Relationship Id="rId41" Type="http://schemas.openxmlformats.org/officeDocument/2006/relationships/hyperlink" Target="http://www.sec.gov/ix?doc=/Archives/edgar/data/1992243/000121390026045173/ea0286610-8k_t1energy.htm" TargetMode="External"/><Relationship Id="rId42" Type="http://schemas.openxmlformats.org/officeDocument/2006/relationships/hyperlink" Target="http://www.sec.gov/ix?doc=/Archives/edgar/data/1992243/000121390026048030/ea0287442-8k_t1energy.htm" TargetMode="External"/><Relationship Id="rId43" Type="http://schemas.openxmlformats.org/officeDocument/2006/relationships/hyperlink" Target="http://www.sec.gov/ix?doc=/Archives/edgar/data/1992243/000121390026065997/ea0293886-8k_t1energy.htm" TargetMode="External"/><Relationship Id="rId44" Type="http://schemas.openxmlformats.org/officeDocument/2006/relationships/hyperlink" Target="http://www.sec.gov/ix?doc=/Archives/edgar/data/1992243/000121390026069670/ea0295062-8k_t1energy.htm" TargetMode="External"/><Relationship Id="rId45" Type="http://schemas.openxmlformats.org/officeDocument/2006/relationships/hyperlink" Target="http://www.sec.gov/ix?doc=/Archives/edgar/data/1992243/000121390026072832/ea0295645-8k_t1energy.htm" TargetMode="External"/><Relationship Id="rId46" Type="http://schemas.openxmlformats.org/officeDocument/2006/relationships/hyperlink" Target="https://www.sec.gov/ix?doc=/Archives/edgar/data/1992243/000121390026081970/ea0299400-8k_t1energy.htm" TargetMode="External"/><Relationship Id="rId47" Type="http://schemas.openxmlformats.org/officeDocument/2006/relationships/hyperlink" Target="https://www.sec.gov/ix?doc=/Archives/edgar/data/1992243/000121390026081974/ea0299450-8k_t1energy.htm" TargetMode="External"/><Relationship Id="rId48" Type="http://schemas.openxmlformats.org/officeDocument/2006/relationships/hyperlink" Target="http://www.sec.gov/ix?doc=/Archives/edgar/data/1992243/000121390026083033/ea0299711-8k_t1energy.htm" TargetMode="External"/><Relationship Id="rId49" Type="http://schemas.openxmlformats.org/officeDocument/2006/relationships/hyperlink" Target="http://www.sec.gov/ix?doc=/Archives/edgar/data/1992243/000121390026084067/ea0299867-8k_t1energy.htm" TargetMode="External"/><Relationship Id="rId50" Type="http://schemas.openxmlformats.org/officeDocument/2006/relationships/hyperlink" Target="https://www.sec.gov/ix?doc=/Archives/edgar/data/1992243/000121390026086689/ea0301011-8k_t1energy.htm" TargetMode="External"/><Relationship Id="rId51" Type="http://schemas.openxmlformats.org/officeDocument/2006/relationships/hyperlink" Target="https://www.sec.gov/ix?doc=/Archives/edgar/data/0001992243/000121390026095184/ea0303753-8k_t1energy.htm" TargetMode="External"/><Relationship Id="rId52" Type="http://schemas.openxmlformats.org/officeDocument/2006/relationships/hyperlink" Target="https://www.sec.gov/ix?doc=/Archives/edgar/data/0001992243/000121390026104291/ea0306948-8k_t1energy.htm" TargetMode="External"/><Relationship Id="rId53" Type="http://schemas.openxmlformats.org/officeDocument/2006/relationships/hyperlink" Target="https://www.sec.gov/ix?doc=/Archives/edgar/data/0001992243/000121390026107289/ea0307775-8k_t1energy.htm" TargetMode="External"/><Relationship Id="rId54" Type="http://schemas.openxmlformats.org/officeDocument/2006/relationships/hyperlink" Target="https://www.sec.gov/ix?doc=/Archives/edgar/data/0001992243/000121390026111378/ea0309217-8k_t1energy.htm" TargetMode="External"/><Relationship Id="rId55" Type="http://schemas.openxmlformats.org/officeDocument/2006/relationships/hyperlink" Target="http://www.sec.gov/ix?doc=/Archives/edgar/data/1992243/000121390026058457/ea0289524-02.htm" TargetMode="External"/><Relationship Id="rId56" Type="http://schemas.openxmlformats.org/officeDocument/2006/relationships/hyperlink" Target="http://www.sec.gov/ix?doc=/Archives/edgar/data/1992243/000199224324000003/freyr-20240102.htm" TargetMode="External"/><Relationship Id="rId57" Type="http://schemas.openxmlformats.org/officeDocument/2006/relationships/hyperlink" Target="http://www.sec.gov/Archives/edgar/data/1992243/000199224326000007/ex48-q42025.htm" TargetMode="External"/><Relationship Id="rId93" Type="http://schemas.openxmlformats.org/officeDocument/2006/relationships/hyperlink" Target="https://www.sec.gov/Archives/edgar/data/1992243/000199224325000010/frey-20241231.htm" TargetMode="External"/><Relationship Id="rId94" Type="http://schemas.openxmlformats.org/officeDocument/2006/relationships/hyperlink" Target="https://www.sec.gov/Archives/edgar/data/1992243/000199224325000015/t1energy-20241231.htm" TargetMode="External"/><Relationship Id="rId95" Type="http://schemas.openxmlformats.org/officeDocument/2006/relationships/hyperlink" Target="https://www.sec.gov/Archives/edgar/data/1992243/000199224325000021/t1-20250331.htm" TargetMode="External"/><Relationship Id="rId96" Type="http://schemas.openxmlformats.org/officeDocument/2006/relationships/hyperlink" Target="https://www.sec.gov/Archives/edgar/data/1992243/000199224325000029/t1-20250331.htm" TargetMode="External"/><Relationship Id="rId97" Type="http://schemas.openxmlformats.org/officeDocument/2006/relationships/hyperlink" Target="https://www.sec.gov/Archives/edgar/data/1992243/000199224325000033/t1-20250630.htm" TargetMode="External"/><Relationship Id="rId98" Type="http://schemas.openxmlformats.org/officeDocument/2006/relationships/hyperlink" Target="https://www.sec.gov/Archives/edgar/data/1992243/000199224325000040/t1-20250930.htm" TargetMode="External"/><Relationship Id="rId99" Type="http://schemas.openxmlformats.org/officeDocument/2006/relationships/hyperlink" Target="https://www.sec.gov/Archives/edgar/data/1992243/000121390025015030/ea0231365-8k_freyrbat.htm" TargetMode="External"/><Relationship Id="rId100" Type="http://schemas.openxmlformats.org/officeDocument/2006/relationships/hyperlink" Target="https://www.sec.gov/Archives/edgar/data/1992243/000121390025043646/ea0242292-8k_t1energy.htm" TargetMode="External"/><Relationship Id="rId101" Type="http://schemas.openxmlformats.org/officeDocument/2006/relationships/hyperlink" Target="https://www.sec.gov/Archives/edgar/data/1992243/000121390025058015/ea0246700-8k_t1energy.htm" TargetMode="External"/><Relationship Id="rId102" Type="http://schemas.openxmlformats.org/officeDocument/2006/relationships/hyperlink" Target="https://www.sec.gov/Archives/edgar/data/1992243/000121390025061508/ea0247616-8k_t1energy.htm" TargetMode="External"/><Relationship Id="rId103" Type="http://schemas.openxmlformats.org/officeDocument/2006/relationships/hyperlink" Target="https://www.sec.gov/Archives/edgar/data/1992243/000121390025072121/ea0251845-8k_t1energy.htm" TargetMode="External"/><Relationship Id="rId104" Type="http://schemas.openxmlformats.org/officeDocument/2006/relationships/hyperlink" Target="https://www.sec.gov/Archives/edgar/data/1992243/000121390025076002/ea0253099-8k_t1energy.htm" TargetMode="External"/><Relationship Id="rId105" Type="http://schemas.openxmlformats.org/officeDocument/2006/relationships/hyperlink" Target="https://www.sec.gov/Archives/edgar/data/1992243/000121390025077036/ea0253426-8k_t1energy.htm" TargetMode="External"/><Relationship Id="rId106" Type="http://schemas.openxmlformats.org/officeDocument/2006/relationships/hyperlink" Target="https://www.sec.gov/Archives/edgar/data/1992243/000121390025077935/ea0253661-8k_t1energy.htm" TargetMode="External"/><Relationship Id="rId107" Type="http://schemas.openxmlformats.org/officeDocument/2006/relationships/hyperlink" Target="https://www.sec.gov/Archives/edgar/data/1992243/000121390025078694/ea0253865-8k_t1energy.htm" TargetMode="External"/><Relationship Id="rId108" Type="http://schemas.openxmlformats.org/officeDocument/2006/relationships/hyperlink" Target="https://www.sec.gov/Archives/edgar/data/1992243/000121390025101432/ea0262237-8k_t1energy.htm" TargetMode="External"/><Relationship Id="rId109" Type="http://schemas.openxmlformats.org/officeDocument/2006/relationships/hyperlink" Target="https://www.sec.gov/Archives/edgar/data/1992243/000121390025101908/ea0262405-8k_t1energy.htm" TargetMode="External"/><Relationship Id="rId110" Type="http://schemas.openxmlformats.org/officeDocument/2006/relationships/hyperlink" Target="https://www.sec.gov/Archives/edgar/data/1992243/000121390025104500/ea0263018-8k_t1energy.htm" TargetMode="External"/><Relationship Id="rId111" Type="http://schemas.openxmlformats.org/officeDocument/2006/relationships/hyperlink" Target="https://www.sec.gov/Archives/edgar/data/1992243/000121390025118483/ea0268498-8k_t1energy.htm" TargetMode="External"/><Relationship Id="rId112" Type="http://schemas.openxmlformats.org/officeDocument/2006/relationships/hyperlink" Target="https://www.sec.gov/Archives/edgar/data/1992243/000121390025121741/ea0269639-8k_t1energy.htm" TargetMode="External"/><Relationship Id="rId113" Type="http://schemas.openxmlformats.org/officeDocument/2006/relationships/hyperlink" Target="https://www.sec.gov/Archives/edgar/data/1992243/000121390025122336/ea0269834-8k_t1energy.htm" TargetMode="External"/><Relationship Id="rId114" Type="http://schemas.openxmlformats.org/officeDocument/2006/relationships/hyperlink" Target="https://www.sec.gov/Archives/edgar/data/1992243/000121390025126306/ea0271222-8k_t1energy.htm" TargetMode="External"/><Relationship Id="rId115" Type="http://schemas.openxmlformats.org/officeDocument/2006/relationships/hyperlink" Target="https://www.sec.gov/Archives/edgar/data/1992243/000199224324000003/freyr-20240102.htm" TargetMode="External"/><Relationship Id="rId116" Type="http://schemas.openxmlformats.org/officeDocument/2006/relationships/hyperlink" Target="https://www.sec.gov/Archives/edgar/data/1992243/000199224325000010/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2026-10-30T16:11:39Z</dcterms:created>
  <dcterms:modified xsi:type="dcterms:W3CDTF">2026-10-30T16:11:39Z</dcterms:modified>
</cp:coreProperties>
</file>