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59112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5911215"/>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Bentzen Andreas</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1211 E 4TH ST.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T1 Energy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06/23/2026</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717"/>
        <w:spacing w:after="0"/>
        <w:rPr>
          <w:sz w:val="20"/>
          <w:szCs w:val="20"/>
          <w:color w:val="auto"/>
        </w:rPr>
      </w:pPr>
      <w:r>
        <w:rPr>
          <w:rFonts w:ascii="Times New Roman" w:cs="Times New Roman" w:eastAsia="Times New Roman" w:hAnsi="Times New Roman"/>
          <w:sz w:val="17"/>
          <w:szCs w:val="17"/>
          <w:color w:val="0000FF"/>
        </w:rPr>
        <w:t>Chief Technology Officer</w:t>
      </w:r>
    </w:p>
    <w:p>
      <w:pPr>
        <w:spacing w:after="0" w:line="313" w:lineRule="exact"/>
        <w:rPr>
          <w:sz w:val="24"/>
          <w:szCs w:val="24"/>
          <w:color w:val="auto"/>
        </w:rPr>
      </w:pPr>
    </w:p>
    <w:p>
      <w:pPr>
        <w:sectPr>
          <w:pgSz w:w="11900" w:h="16838" w:orient="portrait"/>
          <w:cols w:equalWidth="0" w:num="3">
            <w:col w:w="3180" w:space="720"/>
            <w:col w:w="3103" w:space="720"/>
            <w:col w:w="3357"/>
          </w:cols>
          <w:pgMar w:left="460" w:top="217" w:right="359" w:bottom="0" w:gutter="0" w:footer="0" w:header="0"/>
          <w:type w:val="continuous"/>
        </w:sectPr>
      </w:pPr>
    </w:p>
    <w:tbl>
      <w:tblPr>
        <w:tblLayout w:type="fixed"/>
        <w:tblInd w:w="0" w:type="dxa"/>
        <w:tblCellMar>
          <w:top w:w="0" w:type="dxa"/>
          <w:left w:w="0" w:type="dxa"/>
          <w:bottom w:w="0" w:type="dxa"/>
          <w:right w:w="0" w:type="dxa"/>
        </w:tblCellMar>
      </w:tblP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Borders>
              <w:bottom w:val="single" w:sz="8" w:color="9A9A9A"/>
            </w:tcBorders>
          </w:tcPr>
          <w:p>
            <w:pPr>
              <w:spacing w:after="0"/>
              <w:rPr>
                <w:sz w:val="3"/>
                <w:szCs w:val="3"/>
                <w:color w:val="auto"/>
              </w:rPr>
            </w:pPr>
          </w:p>
        </w:tc>
        <w:tc>
          <w:tcPr>
            <w:tcW w:w="72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3700" w:type="dxa"/>
            <w:vAlign w:val="bottom"/>
            <w:gridSpan w:val="8"/>
            <w:vMerge w:val="restart"/>
          </w:tcPr>
          <w:p>
            <w:pPr>
              <w:jc w:val="center"/>
              <w:ind w:right="30"/>
              <w:spacing w:after="0"/>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10"/>
            <w:vMerge w:val="restart"/>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700" w:type="dxa"/>
            <w:vAlign w:val="bottom"/>
            <w:gridSpan w:val="8"/>
            <w:vMerge w:val="continue"/>
          </w:tcPr>
          <w:p>
            <w:pPr>
              <w:spacing w:after="0"/>
              <w:rPr>
                <w:sz w:val="7"/>
                <w:szCs w:val="7"/>
                <w:color w:val="auto"/>
              </w:rPr>
            </w:pPr>
          </w:p>
        </w:tc>
        <w:tc>
          <w:tcPr>
            <w:tcW w:w="364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7"/>
                <w:szCs w:val="17"/>
                <w:color w:val="0000FF"/>
                <w:w w:val="99"/>
              </w:rPr>
              <w:t>AUSTIN</w:t>
            </w:r>
          </w:p>
        </w:tc>
        <w:tc>
          <w:tcPr>
            <w:tcW w:w="1760" w:type="dxa"/>
            <w:vAlign w:val="bottom"/>
            <w:gridSpan w:val="2"/>
          </w:tcPr>
          <w:p>
            <w:pPr>
              <w:ind w:left="580"/>
              <w:spacing w:after="0"/>
              <w:rPr>
                <w:sz w:val="20"/>
                <w:szCs w:val="20"/>
                <w:color w:val="auto"/>
              </w:rPr>
            </w:pPr>
            <w:r>
              <w:rPr>
                <w:rFonts w:ascii="Times New Roman" w:cs="Times New Roman" w:eastAsia="Times New Roman" w:hAnsi="Times New Roman"/>
                <w:sz w:val="17"/>
                <w:szCs w:val="17"/>
                <w:color w:val="0000FF"/>
              </w:rPr>
              <w:t>TX</w:t>
            </w:r>
          </w:p>
        </w:tc>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78702</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60" w:type="dxa"/>
            <w:vAlign w:val="bottom"/>
            <w:gridSpan w:val="7"/>
          </w:tcPr>
          <w:p>
            <w:pPr>
              <w:ind w:left="140"/>
              <w:spacing w:after="0" w:line="13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760" w:type="dxa"/>
            <w:vAlign w:val="bottom"/>
            <w:gridSpan w:val="2"/>
            <w:vMerge w:val="restart"/>
          </w:tcPr>
          <w:p>
            <w:pPr>
              <w:ind w:left="58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176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3"/>
          </w:tcPr>
          <w:p>
            <w:pPr>
              <w:spacing w:after="0"/>
              <w:rPr>
                <w:sz w:val="10"/>
                <w:szCs w:val="10"/>
                <w:color w:val="auto"/>
              </w:rPr>
            </w:pPr>
          </w:p>
        </w:tc>
        <w:tc>
          <w:tcPr>
            <w:tcW w:w="2560" w:type="dxa"/>
            <w:vAlign w:val="bottom"/>
            <w:tcBorders>
              <w:bottom w:val="single" w:sz="8" w:color="2C2C2C"/>
            </w:tcBorders>
            <w:gridSpan w:val="6"/>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0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Code (Instr.</w:t>
            </w:r>
          </w:p>
        </w:tc>
        <w:tc>
          <w:tcPr>
            <w:tcW w:w="100" w:type="dxa"/>
            <w:vAlign w:val="bottom"/>
          </w:tcPr>
          <w:p>
            <w:pPr>
              <w:spacing w:after="0"/>
              <w:rPr>
                <w:sz w:val="11"/>
                <w:szCs w:val="11"/>
                <w:color w:val="auto"/>
              </w:rPr>
            </w:pP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  8)</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0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1"/>
                <w:szCs w:val="11"/>
                <w:color w:val="auto"/>
              </w:rPr>
            </w:pPr>
          </w:p>
        </w:tc>
        <w:tc>
          <w:tcPr>
            <w:tcW w:w="54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591"/>
              <w:spacing w:after="0"/>
              <w:rPr>
                <w:sz w:val="20"/>
                <w:szCs w:val="20"/>
                <w:color w:val="auto"/>
              </w:rPr>
            </w:pPr>
            <w:r>
              <w:rPr>
                <w:rFonts w:ascii="Times New Roman" w:cs="Times New Roman" w:eastAsia="Times New Roman" w:hAnsi="Times New Roman"/>
                <w:sz w:val="17"/>
                <w:szCs w:val="17"/>
                <w:color w:val="0000FF"/>
                <w:w w:val="98"/>
              </w:rPr>
              <w:t>06/23/2026</w:t>
            </w: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w w:val="91"/>
              </w:rPr>
              <w:t>25,000</w:t>
            </w:r>
            <w:r>
              <w:rPr>
                <w:rFonts w:ascii="Times New Roman" w:cs="Times New Roman" w:eastAsia="Times New Roman" w:hAnsi="Times New Roman"/>
                <w:sz w:val="21"/>
                <w:szCs w:val="21"/>
                <w:color w:val="008000"/>
                <w:w w:val="91"/>
                <w:vertAlign w:val="superscript"/>
              </w:rPr>
              <w:t>(1)</w:t>
            </w:r>
          </w:p>
        </w:tc>
        <w:tc>
          <w:tcPr>
            <w:tcW w:w="5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right"/>
              <w:ind w:right="16"/>
              <w:spacing w:after="0"/>
              <w:rPr>
                <w:sz w:val="20"/>
                <w:szCs w:val="20"/>
                <w:color w:val="auto"/>
              </w:rPr>
            </w:pPr>
            <w:r>
              <w:rPr>
                <w:rFonts w:ascii="Times New Roman" w:cs="Times New Roman" w:eastAsia="Times New Roman" w:hAnsi="Times New Roman"/>
                <w:sz w:val="11"/>
                <w:szCs w:val="11"/>
                <w:color w:val="008000"/>
              </w:rPr>
              <w:t>(1)</w:t>
            </w: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25,000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591"/>
              <w:spacing w:after="0"/>
              <w:rPr>
                <w:sz w:val="20"/>
                <w:szCs w:val="20"/>
                <w:color w:val="auto"/>
              </w:rPr>
            </w:pPr>
            <w:r>
              <w:rPr>
                <w:rFonts w:ascii="Times New Roman" w:cs="Times New Roman" w:eastAsia="Times New Roman" w:hAnsi="Times New Roman"/>
                <w:sz w:val="17"/>
                <w:szCs w:val="17"/>
                <w:color w:val="0000FF"/>
                <w:w w:val="98"/>
              </w:rPr>
              <w:t>06/23/2026</w:t>
            </w: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1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w w:val="91"/>
              </w:rPr>
              <w:t>11,850</w:t>
            </w:r>
            <w:r>
              <w:rPr>
                <w:rFonts w:ascii="Times New Roman" w:cs="Times New Roman" w:eastAsia="Times New Roman" w:hAnsi="Times New Roman"/>
                <w:sz w:val="21"/>
                <w:szCs w:val="21"/>
                <w:color w:val="008000"/>
                <w:w w:val="91"/>
                <w:vertAlign w:val="superscript"/>
              </w:rPr>
              <w:t>(2)</w:t>
            </w:r>
          </w:p>
        </w:tc>
        <w:tc>
          <w:tcPr>
            <w:tcW w:w="5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9.24</w:t>
            </w:r>
          </w:p>
        </w:tc>
        <w:tc>
          <w:tcPr>
            <w:tcW w:w="130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5"/>
              </w:rPr>
              <w:t>13,150</w:t>
            </w:r>
            <w:r>
              <w:rPr>
                <w:rFonts w:ascii="Times New Roman" w:cs="Times New Roman" w:eastAsia="Times New Roman" w:hAnsi="Times New Roman"/>
                <w:sz w:val="21"/>
                <w:szCs w:val="21"/>
                <w:color w:val="008000"/>
                <w:w w:val="95"/>
                <w:vertAlign w:val="superscript"/>
              </w:rPr>
              <w:t>(3)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Self</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as owner</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46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1"/>
              </w:rPr>
              <w:t>1,200</w:t>
            </w:r>
            <w:r>
              <w:rPr>
                <w:rFonts w:ascii="Times New Roman" w:cs="Times New Roman" w:eastAsia="Times New Roman" w:hAnsi="Times New Roman"/>
                <w:sz w:val="21"/>
                <w:szCs w:val="21"/>
                <w:color w:val="008000"/>
                <w:w w:val="91"/>
                <w:vertAlign w:val="superscript"/>
              </w:rPr>
              <w:t>(5)</w:t>
            </w:r>
          </w:p>
        </w:tc>
        <w:tc>
          <w:tcPr>
            <w:tcW w:w="280" w:type="dxa"/>
            <w:vAlign w:val="bottom"/>
          </w:tcPr>
          <w:p>
            <w:pPr>
              <w:spacing w:after="0"/>
              <w:rPr>
                <w:sz w:val="17"/>
                <w:szCs w:val="17"/>
                <w:color w:val="auto"/>
              </w:rPr>
            </w:pP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of</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460" w:type="dxa"/>
            <w:vAlign w:val="bottom"/>
            <w:gridSpan w:val="3"/>
            <w:vMerge w:val="continue"/>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Beacon</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Group</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AS</w:t>
            </w: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gridSpan w:val="5"/>
          </w:tcPr>
          <w:p>
            <w:pPr>
              <w:spacing w:after="0"/>
              <w:rPr>
                <w:sz w:val="8"/>
                <w:szCs w:val="8"/>
                <w:color w:val="auto"/>
              </w:rPr>
            </w:pPr>
          </w:p>
        </w:tc>
        <w:tc>
          <w:tcPr>
            <w:tcW w:w="2560" w:type="dxa"/>
            <w:vAlign w:val="bottom"/>
            <w:tcBorders>
              <w:bottom w:val="single" w:sz="8" w:color="2C2C2C"/>
            </w:tcBorders>
            <w:gridSpan w:val="6"/>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4"/>
          </w:tcPr>
          <w:p>
            <w:pPr>
              <w:jc w:val="center"/>
              <w:ind w:right="10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2"/>
          </w:tcPr>
          <w:p>
            <w:pPr>
              <w:jc w:val="center"/>
              <w:ind w:left="471"/>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jc w:val="center"/>
              <w:ind w:right="435"/>
              <w:spacing w:after="0"/>
              <w:rPr>
                <w:sz w:val="20"/>
                <w:szCs w:val="20"/>
                <w:color w:val="auto"/>
              </w:rPr>
            </w:pPr>
            <w:r>
              <w:rPr>
                <w:rFonts w:ascii="Arial" w:cs="Arial" w:eastAsia="Arial" w:hAnsi="Arial"/>
                <w:sz w:val="12"/>
                <w:szCs w:val="12"/>
                <w:b w:val="1"/>
                <w:bCs w:val="1"/>
                <w:color w:val="auto"/>
                <w:w w:val="99"/>
              </w:rPr>
              <w:t>4.</w:t>
            </w: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w w:val="97"/>
              </w:rPr>
              <w:t>Expiration Date</w:t>
            </w:r>
          </w:p>
        </w:tc>
        <w:tc>
          <w:tcPr>
            <w:tcW w:w="540" w:type="dxa"/>
            <w:vAlign w:val="bottom"/>
          </w:tcPr>
          <w:p>
            <w:pPr>
              <w:spacing w:after="0"/>
              <w:rPr>
                <w:sz w:val="11"/>
                <w:szCs w:val="11"/>
                <w:color w:val="auto"/>
              </w:rPr>
            </w:pPr>
          </w:p>
        </w:tc>
        <w:tc>
          <w:tcPr>
            <w:tcW w:w="128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jc w:val="center"/>
              <w:ind w:right="435"/>
              <w:spacing w:after="0" w:line="129" w:lineRule="exact"/>
              <w:rPr>
                <w:sz w:val="20"/>
                <w:szCs w:val="20"/>
                <w:color w:val="auto"/>
              </w:rPr>
            </w:pPr>
            <w:r>
              <w:rPr>
                <w:rFonts w:ascii="Arial" w:cs="Arial" w:eastAsia="Arial" w:hAnsi="Arial"/>
                <w:sz w:val="12"/>
                <w:szCs w:val="12"/>
                <w:b w:val="1"/>
                <w:bCs w:val="1"/>
                <w:color w:val="auto"/>
                <w:w w:val="93"/>
              </w:rPr>
              <w:t>8)</w:t>
            </w: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0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0000FF"/>
              </w:rPr>
              <w:t>Shares of</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4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2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900" w:type="dxa"/>
            <w:vAlign w:val="bottom"/>
          </w:tcPr>
          <w:p>
            <w:pPr>
              <w:spacing w:after="0"/>
              <w:rPr>
                <w:sz w:val="5"/>
                <w:szCs w:val="5"/>
                <w:color w:val="auto"/>
              </w:rPr>
            </w:pPr>
          </w:p>
        </w:tc>
        <w:tc>
          <w:tcPr>
            <w:tcW w:w="8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100" w:type="dxa"/>
            <w:vAlign w:val="bottom"/>
          </w:tcPr>
          <w:p>
            <w:pPr>
              <w:spacing w:after="0"/>
              <w:rPr>
                <w:sz w:val="5"/>
                <w:szCs w:val="5"/>
                <w:color w:val="auto"/>
              </w:rPr>
            </w:pPr>
          </w:p>
        </w:tc>
        <w:tc>
          <w:tcPr>
            <w:tcW w:w="540" w:type="dxa"/>
            <w:vAlign w:val="bottom"/>
            <w:vMerge w:val="restart"/>
          </w:tcPr>
          <w:p>
            <w:pPr>
              <w:ind w:left="14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gridSpan w:val="2"/>
            <w:vMerge w:val="continue"/>
          </w:tcPr>
          <w:p>
            <w:pPr>
              <w:spacing w:after="0"/>
              <w:rPr>
                <w:sz w:val="5"/>
                <w:szCs w:val="5"/>
                <w:color w:val="auto"/>
              </w:rPr>
            </w:pP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25,000</w:t>
            </w:r>
          </w:p>
        </w:tc>
        <w:tc>
          <w:tcPr>
            <w:tcW w:w="60" w:type="dxa"/>
            <w:vAlign w:val="bottom"/>
          </w:tcPr>
          <w:p>
            <w:pPr>
              <w:spacing w:after="0"/>
              <w:rPr>
                <w:sz w:val="5"/>
                <w:szCs w:val="5"/>
                <w:color w:val="auto"/>
              </w:rPr>
            </w:pPr>
          </w:p>
        </w:tc>
        <w:tc>
          <w:tcPr>
            <w:tcW w:w="7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1"/>
                <w:szCs w:val="11"/>
                <w:color w:val="008000"/>
              </w:rPr>
              <w:t>(1)</w:t>
            </w: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1040" w:type="dxa"/>
            <w:vAlign w:val="bottom"/>
            <w:vMerge w:val="restart"/>
          </w:tcPr>
          <w:p>
            <w:pPr>
              <w:ind w:left="260"/>
              <w:spacing w:after="0" w:line="142" w:lineRule="exact"/>
              <w:rPr>
                <w:sz w:val="20"/>
                <w:szCs w:val="20"/>
                <w:color w:val="auto"/>
              </w:rPr>
            </w:pPr>
            <w:r>
              <w:rPr>
                <w:rFonts w:ascii="Times New Roman" w:cs="Times New Roman" w:eastAsia="Times New Roman" w:hAnsi="Times New Roman"/>
                <w:sz w:val="13"/>
                <w:szCs w:val="13"/>
                <w:color w:val="0000FF"/>
              </w:rPr>
              <w:t>06/23/2026</w:t>
            </w: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900" w:type="dxa"/>
            <w:vAlign w:val="bottom"/>
            <w:vMerge w:val="restart"/>
          </w:tcPr>
          <w:p>
            <w:pPr>
              <w:ind w:left="460"/>
              <w:spacing w:after="0" w:line="142" w:lineRule="exact"/>
              <w:rPr>
                <w:sz w:val="20"/>
                <w:szCs w:val="20"/>
                <w:color w:val="auto"/>
              </w:rPr>
            </w:pPr>
            <w:r>
              <w:rPr>
                <w:rFonts w:ascii="Times New Roman" w:cs="Times New Roman" w:eastAsia="Times New Roman" w:hAnsi="Times New Roman"/>
                <w:sz w:val="13"/>
                <w:szCs w:val="13"/>
                <w:color w:val="0000FF"/>
              </w:rPr>
              <w:t>25,000</w:t>
            </w:r>
          </w:p>
        </w:tc>
        <w:tc>
          <w:tcPr>
            <w:tcW w:w="8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700" w:type="dxa"/>
            <w:vAlign w:val="bottom"/>
            <w:gridSpan w:val="2"/>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0" w:type="dxa"/>
            <w:vAlign w:val="bottom"/>
            <w:vMerge w:val="restart"/>
          </w:tcPr>
          <w:p>
            <w:pPr>
              <w:ind w:left="240"/>
              <w:spacing w:after="0" w:line="142" w:lineRule="exact"/>
              <w:rPr>
                <w:sz w:val="20"/>
                <w:szCs w:val="20"/>
                <w:color w:val="auto"/>
              </w:rPr>
            </w:pPr>
            <w:r>
              <w:rPr>
                <w:rFonts w:ascii="Times New Roman" w:cs="Times New Roman" w:eastAsia="Times New Roman" w:hAnsi="Times New Roman"/>
                <w:sz w:val="13"/>
                <w:szCs w:val="13"/>
                <w:color w:val="0000FF"/>
                <w:w w:val="94"/>
              </w:rPr>
              <w:t>50,000</w:t>
            </w:r>
          </w:p>
        </w:tc>
        <w:tc>
          <w:tcPr>
            <w:tcW w:w="280" w:type="dxa"/>
            <w:vAlign w:val="bottom"/>
          </w:tcPr>
          <w:p>
            <w:pPr>
              <w:spacing w:after="0"/>
              <w:rPr>
                <w:sz w:val="6"/>
                <w:szCs w:val="6"/>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4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Units</w:t>
            </w:r>
          </w:p>
        </w:tc>
        <w:tc>
          <w:tcPr>
            <w:tcW w:w="72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(RSUs)</w:t>
            </w:r>
          </w:p>
        </w:tc>
        <w:tc>
          <w:tcPr>
            <w:tcW w:w="7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-2102485</wp:posOffset>
            </wp:positionV>
            <wp:extent cx="29210" cy="21075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0756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18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represents the vesting on June 23, 2026 of 25,000 Restricted Stock Units ("RSUs") granted on June 23, 2025 under the Company's 2021 Equity Incentive Plan (as amended and restated on April 22, 2024) and reported on the Form 4 filed June 25, 2025. This relates to the vesting of the first of three equal annual installments (further details in Note 4 below). Each RSU represents the right to receive one share of Common Stock. These 25,000 RSUs were settled in shares of Common Stock on June 23, 2026.</w:t>
      </w:r>
    </w:p>
    <w:p>
      <w:pPr>
        <w:spacing w:after="0" w:line="25" w:lineRule="exact"/>
        <w:rPr>
          <w:rFonts w:ascii="Times New Roman" w:cs="Times New Roman" w:eastAsia="Times New Roman" w:hAnsi="Times New Roman"/>
          <w:sz w:val="13"/>
          <w:szCs w:val="13"/>
          <w:color w:val="008000"/>
        </w:rPr>
      </w:pPr>
    </w:p>
    <w:p>
      <w:pPr>
        <w:ind w:left="40" w:right="42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represents 11,850 shares of Common Stock withheld for tax obligations in connection with the settlement on June 23, 2026 of 25,000 RSUs that vested on June 23, 2026 (the first of three equal annual installments). The vesting of those 25,000 RSUs is described in Note 1 above.</w:t>
      </w:r>
    </w:p>
    <w:p>
      <w:pPr>
        <w:spacing w:after="0" w:line="16" w:lineRule="exact"/>
        <w:rPr>
          <w:rFonts w:ascii="Times New Roman" w:cs="Times New Roman" w:eastAsia="Times New Roman" w:hAnsi="Times New Roman"/>
          <w:sz w:val="13"/>
          <w:szCs w:val="13"/>
          <w:color w:val="008000"/>
        </w:rPr>
      </w:pPr>
    </w:p>
    <w:p>
      <w:pPr>
        <w:ind w:left="40" w:right="36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13,150 shares of Common Stock beneficially owned directly following the reported transactions reflects 25,000 shares of Common Stock acquired upon settlement of the RSUs that vested on June 23, 2026 (Note 1 above), less 11,850 shares withheld for tax upon settlement (Note 2 above).</w:t>
      </w:r>
    </w:p>
    <w:p>
      <w:pPr>
        <w:spacing w:after="0" w:line="16" w:lineRule="exact"/>
        <w:rPr>
          <w:rFonts w:ascii="Times New Roman" w:cs="Times New Roman" w:eastAsia="Times New Roman" w:hAnsi="Times New Roman"/>
          <w:sz w:val="13"/>
          <w:szCs w:val="13"/>
          <w:color w:val="008000"/>
        </w:rPr>
      </w:pPr>
    </w:p>
    <w:p>
      <w:pPr>
        <w:ind w:left="40" w:right="40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reported on the Form 4 filed June 25, 2025 were granted for a total of 75,000 RSUs vesting in three equal annual installments: one-third vested on June 23, 2026; one-third will vest on June 23, 2027; and one-third will vest on June 23, 2028. Following the vesting and settlement of the first installment reported herein, 50,000 RSUs remain outstanding.</w:t>
      </w:r>
    </w:p>
    <w:p>
      <w:pPr>
        <w:spacing w:after="0" w:line="16" w:lineRule="exact"/>
        <w:rPr>
          <w:rFonts w:ascii="Times New Roman" w:cs="Times New Roman" w:eastAsia="Times New Roman" w:hAnsi="Times New Roman"/>
          <w:sz w:val="13"/>
          <w:szCs w:val="13"/>
          <w:color w:val="008000"/>
        </w:rPr>
      </w:pPr>
    </w:p>
    <w:p>
      <w:pPr>
        <w:ind w:left="40" w:right="60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1,200 shares of Common Stock held by Beacon Group AS, as reported on the reporting person's Form 3 filed January 10, 2024. The reporting person is the owner of Beacon Group AS and disclaims beneficial ownership of these shares except to the extent of his pecuniary interest therein.</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Harold Callo Sanchez, as</w:t>
            </w:r>
          </w:p>
        </w:tc>
        <w:tc>
          <w:tcPr>
            <w:tcW w:w="30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06/25/2026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Attorney-in-Fact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05709" TargetMode="External"/><Relationship Id="rId14" Type="http://schemas.openxmlformats.org/officeDocument/2006/relationships/hyperlink" Target="http://www.sec.gov/cgi-bin/browse-edgar?action=getcompany&amp;CIK=000199224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2026-06-25T17:33:14Z</dcterms:created>
  <dcterms:modified xsi:type="dcterms:W3CDTF">2026-06-25T17:33:14Z</dcterms:modified>
</cp:coreProperties>
</file>