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3752-424b7_t1energy.htm"/>
      <w:bookmarkStart w:id="1" w:name="ksea0303752424b7_t1energy"/>
      <w:bookmarkEnd w:id="0"/>
      <w:bookmarkEnd w:id="1"/>
      <w:r>
        <w:rPr>
          <w:rFonts w:ascii="Times New Roman;Times;Serif" w:hAnsi="Times New Roman;Times;Serif"/>
          <w:b/>
          <w:i w:val="false"/>
          <w:caps w:val="false"/>
          <w:smallCaps w:val="false"/>
          <w:sz w:val="20"/>
        </w:rPr>
        <w:t>Filed pursuant to Rule 424(b)(7)</w:t>
        <w:br/>
        <w:t>Registration No. 333-292857</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br/>
        <w:t>(To Prospectus Dated January 21,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128587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85875" cy="504825"/>
                    </a:xfrm>
                    <a:prstGeom prst="rect">
                      <a:avLst/>
                    </a:prstGeom>
                  </pic:spPr>
                </pic:pic>
              </a:graphicData>
            </a:graphic>
          </wp:inline>
        </w:drawing>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T1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32,258,059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relates to the resale of up to 32,258,059 shares of T1 Energy Inc. (the “Company,” “we,” “our,” “us,” “T1 Energy”) common stock, par value $0.01 per share (the “common stock”), by the selling stockholders named in this prospectus supplement (collectively with any pledgees, donees, transferees, assignees, successors, designees and other permitted transferees, the “Selling Stockholders”). The shares of common stock registered for resale pursuant to this prospectus supplement consist of up to 32,258,059 shares of common stock issuable upon the conversion of the Company’s 4.75% Convertible Senior Notes due 2031 (the “Convertible Notes”), assuming physical settlement will apply to all such conversions and including the maximum number of make-whole shares that may be issued pursuant to the terms of the Convertible Notes (such shares of common stock, the “Conversion Shares”). The Selling Stockholders acquired the Convertible Notes pursuant to a private placement completed on July 31, 2026. We are registering the offer and resale of the Conversion Shares issuable upon conversion of such Convertible Notes to fulfill our contractual obligations set forth in note purchase agreements entered into with the Selling Stockholders. We will not receive any of the proceeds from the resale of any Conversion Shares by the Selling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pay or assume all discounts, selling commissions and other expenses, if any, incurred in connection with their sale of the Conversion Shares. We have agreed to pay certain expenses in connection with the registration statement of which this prospectus supplement forms a part and to indemnify the Selling Stockholders and certain related persons against certain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Conversion Shares in order to permit the Selling Stockholders to offer the Conversion Shares for resale from time to time. Our registration of the Conversion Shares covered by this prospectus supplement does not mean that any Conversion Shares will be issued or that the Selling Stockholders will offer or sell any of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sell, transfer or otherwise dispose of all or a portion of the Conversion Shares publicly or through private transactions at fixed prices, prevailing market prices or at negotiated prices, or at market prices prevailing at the time of sale. See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is listed on the New York Stock Exchange (the “NYSE”) under the symbol “TE.” On August 27, 2026, the last reported sale price of the common stock was $4.96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AND YOU SHOULD READ THIS PROSPECTUS SUPPLEMENT, THE ACCOMPANYING PROSPECTUS AND THE DOCUMENTS INCORPORATED OR DEEMED INCORPORATED BY REFERENCE INTO THIS PROSPECTUS SUPPLEMENT AND THE ACCOMPANYING PROSPECTUS BEFORE YOU INVEST. SEE “RISK FACTORS” BEGINNING ON PAGE S-3 OF THIS PROSPECTUS SUPPLEMENT AND ANY SIMILAR SECTION INCLUDED IN THE ACCOMPANYING PROSPECTUS AND IN THE DOCUMENTS INCORPORATED BY REFERENCE HEREIN AND THEREIN. YOU SHOULD CAREFULLY CONSIDER THESE FACTORS BEFORE MAKING YOUR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(the “SEC”) nor any other regulatory body has approved or disapproved of these securities or passed upon the adequacy or accuracy of this prospectus supplement or the accompanying prospectus.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August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8045"/>
        <w:gridCol w:w="485"/>
      </w:tblGrid>
      <w:tr>
        <w:trPr/>
        <w:tc>
          <w:tcPr>
            <w:tcW w:w="8045" w:type="dxa"/>
            <w:tcBorders/>
            <w:shd w:fill="CCEEFF" w:val="clear"/>
            <w:vAlign w:val="center"/>
          </w:tcPr>
          <w:p>
            <w:pPr>
              <w:pStyle w:val="TableContents"/>
              <w:bidi w:val="0"/>
              <w:spacing w:before="0" w:after="283"/>
              <w:jc w:val="left"/>
              <w:rPr/>
            </w:pPr>
            <w:hyperlink w:anchor="r_001">
              <w:r>
                <w:rPr>
                  <w:rStyle w:val="InternetLink"/>
                </w:rPr>
                <w:t>ABOUT THIS PROSPECTUS SUPPLEMENT</w:t>
              </w:r>
            </w:hyperlink>
          </w:p>
        </w:tc>
        <w:tc>
          <w:tcPr>
            <w:tcW w:w="485" w:type="dxa"/>
            <w:tcBorders/>
            <w:shd w:fill="CCEEFF" w:val="clear"/>
            <w:vAlign w:val="center"/>
          </w:tcPr>
          <w:p>
            <w:pPr>
              <w:pStyle w:val="TableContents"/>
              <w:bidi w:val="0"/>
              <w:spacing w:before="0" w:after="283"/>
              <w:jc w:val="center"/>
              <w:rPr/>
            </w:pPr>
            <w:r>
              <w:rPr/>
              <w:t>S-ii</w:t>
            </w:r>
          </w:p>
        </w:tc>
      </w:tr>
      <w:tr>
        <w:trPr/>
        <w:tc>
          <w:tcPr>
            <w:tcW w:w="8045" w:type="dxa"/>
            <w:tcBorders/>
            <w:shd w:fill="FFFFFF" w:val="clear"/>
            <w:vAlign w:val="center"/>
          </w:tcPr>
          <w:p>
            <w:pPr>
              <w:pStyle w:val="TableContents"/>
              <w:bidi w:val="0"/>
              <w:spacing w:before="0" w:after="283"/>
              <w:jc w:val="left"/>
              <w:rPr/>
            </w:pPr>
            <w:hyperlink w:anchor="r_002">
              <w:r>
                <w:rPr>
                  <w:rStyle w:val="InternetLink"/>
                </w:rPr>
                <w:t>CAUTIONARY NOTE REGARDING FORWARD-LOOKING STATEMENTS</w:t>
              </w:r>
            </w:hyperlink>
          </w:p>
        </w:tc>
        <w:tc>
          <w:tcPr>
            <w:tcW w:w="485" w:type="dxa"/>
            <w:tcBorders/>
            <w:shd w:fill="FFFFFF" w:val="clear"/>
            <w:vAlign w:val="center"/>
          </w:tcPr>
          <w:p>
            <w:pPr>
              <w:pStyle w:val="TableContents"/>
              <w:bidi w:val="0"/>
              <w:spacing w:before="0" w:after="283"/>
              <w:jc w:val="center"/>
              <w:rPr/>
            </w:pPr>
            <w:r>
              <w:rPr/>
              <w:t>S-iii</w:t>
            </w:r>
          </w:p>
        </w:tc>
      </w:tr>
      <w:tr>
        <w:trPr/>
        <w:tc>
          <w:tcPr>
            <w:tcW w:w="8045" w:type="dxa"/>
            <w:tcBorders/>
            <w:shd w:fill="CCEEFF" w:val="clear"/>
            <w:vAlign w:val="center"/>
          </w:tcPr>
          <w:p>
            <w:pPr>
              <w:pStyle w:val="TableContents"/>
              <w:bidi w:val="0"/>
              <w:spacing w:before="0" w:after="283"/>
              <w:jc w:val="left"/>
              <w:rPr/>
            </w:pPr>
            <w:hyperlink w:anchor="r_003">
              <w:r>
                <w:rPr>
                  <w:rStyle w:val="InternetLink"/>
                </w:rPr>
                <w:t>SUMMARY OF THIS PROSPECTUS SUPPLEMENT</w:t>
              </w:r>
            </w:hyperlink>
          </w:p>
        </w:tc>
        <w:tc>
          <w:tcPr>
            <w:tcW w:w="485" w:type="dxa"/>
            <w:tcBorders/>
            <w:shd w:fill="CCEEFF" w:val="clear"/>
            <w:vAlign w:val="center"/>
          </w:tcPr>
          <w:p>
            <w:pPr>
              <w:pStyle w:val="TableContents"/>
              <w:bidi w:val="0"/>
              <w:spacing w:before="0" w:after="283"/>
              <w:jc w:val="center"/>
              <w:rPr/>
            </w:pPr>
            <w:r>
              <w:rPr/>
              <w:t>S-1</w:t>
            </w:r>
          </w:p>
        </w:tc>
      </w:tr>
      <w:tr>
        <w:trPr/>
        <w:tc>
          <w:tcPr>
            <w:tcW w:w="8045" w:type="dxa"/>
            <w:tcBorders/>
            <w:shd w:fill="FFFFFF" w:val="clear"/>
            <w:vAlign w:val="center"/>
          </w:tcPr>
          <w:p>
            <w:pPr>
              <w:pStyle w:val="TableContents"/>
              <w:bidi w:val="0"/>
              <w:spacing w:before="0" w:after="283"/>
              <w:jc w:val="left"/>
              <w:rPr/>
            </w:pPr>
            <w:hyperlink w:anchor="r_004">
              <w:r>
                <w:rPr>
                  <w:rStyle w:val="InternetLink"/>
                </w:rPr>
                <w:t>RISK FACTORS</w:t>
              </w:r>
            </w:hyperlink>
          </w:p>
        </w:tc>
        <w:tc>
          <w:tcPr>
            <w:tcW w:w="485" w:type="dxa"/>
            <w:tcBorders/>
            <w:shd w:fill="FFFFFF" w:val="clear"/>
            <w:vAlign w:val="center"/>
          </w:tcPr>
          <w:p>
            <w:pPr>
              <w:pStyle w:val="TableContents"/>
              <w:bidi w:val="0"/>
              <w:spacing w:before="0" w:after="283"/>
              <w:jc w:val="center"/>
              <w:rPr/>
            </w:pPr>
            <w:r>
              <w:rPr/>
              <w:t>S-3</w:t>
            </w:r>
          </w:p>
        </w:tc>
      </w:tr>
      <w:tr>
        <w:trPr/>
        <w:tc>
          <w:tcPr>
            <w:tcW w:w="8045" w:type="dxa"/>
            <w:tcBorders/>
            <w:shd w:fill="CCEEFF" w:val="clear"/>
            <w:vAlign w:val="center"/>
          </w:tcPr>
          <w:p>
            <w:pPr>
              <w:pStyle w:val="TableContents"/>
              <w:bidi w:val="0"/>
              <w:spacing w:before="0" w:after="283"/>
              <w:jc w:val="left"/>
              <w:rPr/>
            </w:pPr>
            <w:hyperlink w:anchor="r_005">
              <w:r>
                <w:rPr>
                  <w:rStyle w:val="InternetLink"/>
                </w:rPr>
                <w:t>USE OF PROCEEDS</w:t>
              </w:r>
            </w:hyperlink>
          </w:p>
        </w:tc>
        <w:tc>
          <w:tcPr>
            <w:tcW w:w="485" w:type="dxa"/>
            <w:tcBorders/>
            <w:shd w:fill="CCEEFF" w:val="clear"/>
            <w:vAlign w:val="center"/>
          </w:tcPr>
          <w:p>
            <w:pPr>
              <w:pStyle w:val="TableContents"/>
              <w:bidi w:val="0"/>
              <w:spacing w:before="0" w:after="283"/>
              <w:jc w:val="center"/>
              <w:rPr/>
            </w:pPr>
            <w:r>
              <w:rPr/>
              <w:t>S-5</w:t>
            </w:r>
          </w:p>
        </w:tc>
      </w:tr>
      <w:tr>
        <w:trPr/>
        <w:tc>
          <w:tcPr>
            <w:tcW w:w="8045" w:type="dxa"/>
            <w:tcBorders/>
            <w:shd w:fill="FFFFFF" w:val="clear"/>
            <w:vAlign w:val="center"/>
          </w:tcPr>
          <w:p>
            <w:pPr>
              <w:pStyle w:val="TableContents"/>
              <w:bidi w:val="0"/>
              <w:spacing w:before="0" w:after="283"/>
              <w:jc w:val="left"/>
              <w:rPr/>
            </w:pPr>
            <w:hyperlink w:anchor="r_006">
              <w:r>
                <w:rPr>
                  <w:rStyle w:val="InternetLink"/>
                </w:rPr>
                <w:t>DESCRIPTION OF SECURITIES BEING REGISTERED</w:t>
              </w:r>
            </w:hyperlink>
          </w:p>
        </w:tc>
        <w:tc>
          <w:tcPr>
            <w:tcW w:w="485" w:type="dxa"/>
            <w:tcBorders/>
            <w:shd w:fill="FFFFFF" w:val="clear"/>
            <w:vAlign w:val="center"/>
          </w:tcPr>
          <w:p>
            <w:pPr>
              <w:pStyle w:val="TableContents"/>
              <w:bidi w:val="0"/>
              <w:spacing w:before="0" w:after="283"/>
              <w:jc w:val="center"/>
              <w:rPr/>
            </w:pPr>
            <w:r>
              <w:rPr/>
              <w:t>S-6</w:t>
            </w:r>
          </w:p>
        </w:tc>
      </w:tr>
      <w:tr>
        <w:trPr/>
        <w:tc>
          <w:tcPr>
            <w:tcW w:w="8045" w:type="dxa"/>
            <w:tcBorders/>
            <w:shd w:fill="CCEEFF" w:val="clear"/>
            <w:vAlign w:val="center"/>
          </w:tcPr>
          <w:p>
            <w:pPr>
              <w:pStyle w:val="TableContents"/>
              <w:bidi w:val="0"/>
              <w:spacing w:before="0" w:after="283"/>
              <w:jc w:val="left"/>
              <w:rPr/>
            </w:pPr>
            <w:hyperlink w:anchor="r_007">
              <w:r>
                <w:rPr>
                  <w:rStyle w:val="InternetLink"/>
                </w:rPr>
                <w:t>SELLING STOCKHOLDERS</w:t>
              </w:r>
            </w:hyperlink>
          </w:p>
        </w:tc>
        <w:tc>
          <w:tcPr>
            <w:tcW w:w="485" w:type="dxa"/>
            <w:tcBorders/>
            <w:shd w:fill="CCEEFF" w:val="clear"/>
            <w:vAlign w:val="center"/>
          </w:tcPr>
          <w:p>
            <w:pPr>
              <w:pStyle w:val="TableContents"/>
              <w:bidi w:val="0"/>
              <w:spacing w:before="0" w:after="283"/>
              <w:jc w:val="center"/>
              <w:rPr/>
            </w:pPr>
            <w:r>
              <w:rPr/>
              <w:t>S-11</w:t>
            </w:r>
          </w:p>
        </w:tc>
      </w:tr>
      <w:tr>
        <w:trPr/>
        <w:tc>
          <w:tcPr>
            <w:tcW w:w="8045" w:type="dxa"/>
            <w:tcBorders/>
            <w:shd w:fill="FFFFFF" w:val="clear"/>
            <w:vAlign w:val="center"/>
          </w:tcPr>
          <w:p>
            <w:pPr>
              <w:pStyle w:val="TableContents"/>
              <w:bidi w:val="0"/>
              <w:spacing w:before="0" w:after="283"/>
              <w:jc w:val="left"/>
              <w:rPr/>
            </w:pPr>
            <w:hyperlink w:anchor="r_008">
              <w:r>
                <w:rPr>
                  <w:rStyle w:val="InternetLink"/>
                </w:rPr>
                <w:t>PLAN OF DISTRIBUTION</w:t>
              </w:r>
            </w:hyperlink>
          </w:p>
        </w:tc>
        <w:tc>
          <w:tcPr>
            <w:tcW w:w="485" w:type="dxa"/>
            <w:tcBorders/>
            <w:shd w:fill="FFFFFF" w:val="clear"/>
            <w:vAlign w:val="center"/>
          </w:tcPr>
          <w:p>
            <w:pPr>
              <w:pStyle w:val="TableContents"/>
              <w:bidi w:val="0"/>
              <w:spacing w:before="0" w:after="283"/>
              <w:jc w:val="center"/>
              <w:rPr/>
            </w:pPr>
            <w:r>
              <w:rPr/>
              <w:t>S-14</w:t>
            </w:r>
          </w:p>
        </w:tc>
      </w:tr>
      <w:tr>
        <w:trPr/>
        <w:tc>
          <w:tcPr>
            <w:tcW w:w="8045" w:type="dxa"/>
            <w:tcBorders/>
            <w:shd w:fill="CCEEFF" w:val="clear"/>
            <w:vAlign w:val="center"/>
          </w:tcPr>
          <w:p>
            <w:pPr>
              <w:pStyle w:val="TableContents"/>
              <w:bidi w:val="0"/>
              <w:spacing w:before="0" w:after="283"/>
              <w:jc w:val="left"/>
              <w:rPr/>
            </w:pPr>
            <w:hyperlink w:anchor="r_009">
              <w:r>
                <w:rPr>
                  <w:rStyle w:val="InternetLink"/>
                </w:rPr>
                <w:t>LEGAL MATTERS</w:t>
              </w:r>
            </w:hyperlink>
          </w:p>
        </w:tc>
        <w:tc>
          <w:tcPr>
            <w:tcW w:w="485" w:type="dxa"/>
            <w:tcBorders/>
            <w:shd w:fill="CCEEFF" w:val="clear"/>
            <w:vAlign w:val="center"/>
          </w:tcPr>
          <w:p>
            <w:pPr>
              <w:pStyle w:val="TableContents"/>
              <w:bidi w:val="0"/>
              <w:spacing w:before="0" w:after="283"/>
              <w:jc w:val="center"/>
              <w:rPr/>
            </w:pPr>
            <w:r>
              <w:rPr/>
              <w:t>S-17</w:t>
            </w:r>
          </w:p>
        </w:tc>
      </w:tr>
      <w:tr>
        <w:trPr/>
        <w:tc>
          <w:tcPr>
            <w:tcW w:w="8045" w:type="dxa"/>
            <w:tcBorders/>
            <w:shd w:fill="FFFFFF" w:val="clear"/>
            <w:vAlign w:val="center"/>
          </w:tcPr>
          <w:p>
            <w:pPr>
              <w:pStyle w:val="TableContents"/>
              <w:bidi w:val="0"/>
              <w:spacing w:before="0" w:after="283"/>
              <w:jc w:val="left"/>
              <w:rPr/>
            </w:pPr>
            <w:hyperlink w:anchor="r_010">
              <w:r>
                <w:rPr>
                  <w:rStyle w:val="InternetLink"/>
                </w:rPr>
                <w:t>EXPERTS</w:t>
              </w:r>
            </w:hyperlink>
          </w:p>
        </w:tc>
        <w:tc>
          <w:tcPr>
            <w:tcW w:w="485" w:type="dxa"/>
            <w:tcBorders/>
            <w:shd w:fill="FFFFFF" w:val="clear"/>
            <w:vAlign w:val="center"/>
          </w:tcPr>
          <w:p>
            <w:pPr>
              <w:pStyle w:val="TableContents"/>
              <w:bidi w:val="0"/>
              <w:spacing w:before="0" w:after="283"/>
              <w:jc w:val="center"/>
              <w:rPr/>
            </w:pPr>
            <w:r>
              <w:rPr/>
              <w:t>S-18</w:t>
            </w:r>
          </w:p>
        </w:tc>
      </w:tr>
      <w:tr>
        <w:trPr/>
        <w:tc>
          <w:tcPr>
            <w:tcW w:w="8045" w:type="dxa"/>
            <w:tcBorders/>
            <w:shd w:fill="CCEEFF" w:val="clear"/>
            <w:vAlign w:val="center"/>
          </w:tcPr>
          <w:p>
            <w:pPr>
              <w:pStyle w:val="TableContents"/>
              <w:bidi w:val="0"/>
              <w:spacing w:before="0" w:after="283"/>
              <w:jc w:val="left"/>
              <w:rPr/>
            </w:pPr>
            <w:hyperlink w:anchor="r_011">
              <w:r>
                <w:rPr>
                  <w:rStyle w:val="InternetLink"/>
                </w:rPr>
                <w:t>WHERE YOU CAN FIND MORE INFORMATION</w:t>
              </w:r>
            </w:hyperlink>
          </w:p>
        </w:tc>
        <w:tc>
          <w:tcPr>
            <w:tcW w:w="485" w:type="dxa"/>
            <w:tcBorders/>
            <w:shd w:fill="CCEEFF" w:val="clear"/>
            <w:vAlign w:val="center"/>
          </w:tcPr>
          <w:p>
            <w:pPr>
              <w:pStyle w:val="TableContents"/>
              <w:bidi w:val="0"/>
              <w:spacing w:before="0" w:after="283"/>
              <w:jc w:val="center"/>
              <w:rPr/>
            </w:pPr>
            <w:r>
              <w:rPr/>
              <w:t>S-19</w:t>
            </w:r>
          </w:p>
        </w:tc>
      </w:tr>
      <w:tr>
        <w:trPr/>
        <w:tc>
          <w:tcPr>
            <w:tcW w:w="8045" w:type="dxa"/>
            <w:tcBorders/>
            <w:shd w:fill="FFFFFF" w:val="clear"/>
            <w:vAlign w:val="center"/>
          </w:tcPr>
          <w:p>
            <w:pPr>
              <w:pStyle w:val="TableContents"/>
              <w:bidi w:val="0"/>
              <w:spacing w:before="0" w:after="283"/>
              <w:jc w:val="left"/>
              <w:rPr/>
            </w:pPr>
            <w:hyperlink w:anchor="r_012">
              <w:r>
                <w:rPr>
                  <w:rStyle w:val="InternetLink"/>
                </w:rPr>
                <w:t>INCORPORATION OF CERTAIN DOCUMENTS BY REFERENCE</w:t>
              </w:r>
            </w:hyperlink>
          </w:p>
        </w:tc>
        <w:tc>
          <w:tcPr>
            <w:tcW w:w="485" w:type="dxa"/>
            <w:tcBorders/>
            <w:shd w:fill="FFFFFF" w:val="clear"/>
            <w:vAlign w:val="center"/>
          </w:tcPr>
          <w:p>
            <w:pPr>
              <w:pStyle w:val="TableContents"/>
              <w:bidi w:val="0"/>
              <w:spacing w:before="0" w:after="283"/>
              <w:jc w:val="center"/>
              <w:rPr/>
            </w:pPr>
            <w:r>
              <w:rPr/>
              <w:t>S-20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8045"/>
        <w:gridCol w:w="275"/>
      </w:tblGrid>
      <w:tr>
        <w:trPr/>
        <w:tc>
          <w:tcPr>
            <w:tcW w:w="8045" w:type="dxa"/>
            <w:tcBorders/>
            <w:shd w:fill="CCEEFF" w:val="clear"/>
            <w:vAlign w:val="center"/>
          </w:tcPr>
          <w:p>
            <w:pPr>
              <w:pStyle w:val="TableContents"/>
              <w:bidi w:val="0"/>
              <w:spacing w:before="0" w:after="283"/>
              <w:ind w:left="0" w:right="0" w:hanging="720"/>
              <w:jc w:val="left"/>
              <w:rPr/>
            </w:pPr>
            <w:hyperlink w:anchor="a_001">
              <w:r>
                <w:rPr>
                  <w:rStyle w:val="InternetLink"/>
                </w:rPr>
                <w:t>ABOUT THIS PROSPECTUS</w:t>
              </w:r>
            </w:hyperlink>
          </w:p>
        </w:tc>
        <w:tc>
          <w:tcPr>
            <w:tcW w:w="275" w:type="dxa"/>
            <w:tcBorders/>
            <w:shd w:fill="CCEEFF" w:val="clear"/>
            <w:vAlign w:val="center"/>
          </w:tcPr>
          <w:p>
            <w:pPr>
              <w:pStyle w:val="TableContents"/>
              <w:bidi w:val="0"/>
              <w:spacing w:before="0" w:after="283"/>
              <w:ind w:left="0" w:right="0" w:hanging="720"/>
              <w:jc w:val="center"/>
              <w:rPr/>
            </w:pPr>
            <w:r>
              <w:rPr/>
              <w:t>ii</w:t>
            </w:r>
          </w:p>
        </w:tc>
      </w:tr>
      <w:tr>
        <w:trPr/>
        <w:tc>
          <w:tcPr>
            <w:tcW w:w="8045" w:type="dxa"/>
            <w:tcBorders/>
            <w:shd w:fill="FFFFFF" w:val="clear"/>
            <w:vAlign w:val="center"/>
          </w:tcPr>
          <w:p>
            <w:pPr>
              <w:pStyle w:val="TableContents"/>
              <w:bidi w:val="0"/>
              <w:spacing w:before="0" w:after="283"/>
              <w:jc w:val="left"/>
              <w:rPr/>
            </w:pPr>
            <w:hyperlink w:anchor="a_002">
              <w:r>
                <w:rPr>
                  <w:rStyle w:val="InternetLink"/>
                </w:rPr>
                <w:t>CAUTIONARY NOTE REGARDING FORWARD-LOOKING STATEMENTS</w:t>
              </w:r>
            </w:hyperlink>
          </w:p>
        </w:tc>
        <w:tc>
          <w:tcPr>
            <w:tcW w:w="275" w:type="dxa"/>
            <w:tcBorders/>
            <w:shd w:fill="FFFFFF" w:val="clear"/>
            <w:vAlign w:val="center"/>
          </w:tcPr>
          <w:p>
            <w:pPr>
              <w:pStyle w:val="TableContents"/>
              <w:bidi w:val="0"/>
              <w:spacing w:before="0" w:after="283"/>
              <w:ind w:left="0" w:right="0" w:hanging="720"/>
              <w:jc w:val="center"/>
              <w:rPr/>
            </w:pPr>
            <w:r>
              <w:rPr/>
              <w:t>iii</w:t>
            </w:r>
          </w:p>
        </w:tc>
      </w:tr>
      <w:tr>
        <w:trPr/>
        <w:tc>
          <w:tcPr>
            <w:tcW w:w="8045" w:type="dxa"/>
            <w:tcBorders/>
            <w:shd w:fill="CCEEFF" w:val="clear"/>
            <w:vAlign w:val="center"/>
          </w:tcPr>
          <w:p>
            <w:pPr>
              <w:pStyle w:val="TableContents"/>
              <w:bidi w:val="0"/>
              <w:spacing w:before="0" w:after="283"/>
              <w:jc w:val="left"/>
              <w:rPr/>
            </w:pPr>
            <w:hyperlink w:anchor="a_003">
              <w:r>
                <w:rPr>
                  <w:rStyle w:val="InternetLink"/>
                </w:rPr>
                <w:t>OUR COMPANY</w:t>
              </w:r>
            </w:hyperlink>
          </w:p>
        </w:tc>
        <w:tc>
          <w:tcPr>
            <w:tcW w:w="275" w:type="dxa"/>
            <w:tcBorders/>
            <w:shd w:fill="CCEEFF" w:val="clear"/>
            <w:vAlign w:val="center"/>
          </w:tcPr>
          <w:p>
            <w:pPr>
              <w:pStyle w:val="TableContents"/>
              <w:bidi w:val="0"/>
              <w:spacing w:before="0" w:after="283"/>
              <w:ind w:left="0" w:right="0" w:hanging="720"/>
              <w:jc w:val="center"/>
              <w:rPr/>
            </w:pPr>
            <w:r>
              <w:rPr/>
              <w:t>1</w:t>
            </w:r>
          </w:p>
        </w:tc>
      </w:tr>
      <w:tr>
        <w:trPr/>
        <w:tc>
          <w:tcPr>
            <w:tcW w:w="8045" w:type="dxa"/>
            <w:tcBorders/>
            <w:shd w:fill="FFFFFF" w:val="clear"/>
            <w:vAlign w:val="center"/>
          </w:tcPr>
          <w:p>
            <w:pPr>
              <w:pStyle w:val="TableContents"/>
              <w:bidi w:val="0"/>
              <w:spacing w:before="0" w:after="283"/>
              <w:jc w:val="left"/>
              <w:rPr/>
            </w:pPr>
            <w:hyperlink w:anchor="a_004">
              <w:r>
                <w:rPr>
                  <w:rStyle w:val="InternetLink"/>
                </w:rPr>
                <w:t>RISK FACTORS</w:t>
              </w:r>
            </w:hyperlink>
          </w:p>
        </w:tc>
        <w:tc>
          <w:tcPr>
            <w:tcW w:w="275" w:type="dxa"/>
            <w:tcBorders/>
            <w:shd w:fill="FFFFFF" w:val="clear"/>
            <w:vAlign w:val="center"/>
          </w:tcPr>
          <w:p>
            <w:pPr>
              <w:pStyle w:val="TableContents"/>
              <w:bidi w:val="0"/>
              <w:spacing w:before="0" w:after="283"/>
              <w:ind w:left="0" w:right="0" w:hanging="720"/>
              <w:jc w:val="center"/>
              <w:rPr/>
            </w:pPr>
            <w:r>
              <w:rPr/>
              <w:t>2</w:t>
            </w:r>
          </w:p>
        </w:tc>
      </w:tr>
      <w:tr>
        <w:trPr/>
        <w:tc>
          <w:tcPr>
            <w:tcW w:w="8045" w:type="dxa"/>
            <w:tcBorders/>
            <w:shd w:fill="CCEEFF" w:val="clear"/>
            <w:vAlign w:val="center"/>
          </w:tcPr>
          <w:p>
            <w:pPr>
              <w:pStyle w:val="TableContents"/>
              <w:bidi w:val="0"/>
              <w:spacing w:before="0" w:after="283"/>
              <w:jc w:val="left"/>
              <w:rPr/>
            </w:pPr>
            <w:hyperlink w:anchor="a_005">
              <w:r>
                <w:rPr>
                  <w:rStyle w:val="InternetLink"/>
                </w:rPr>
                <w:t>USE OF PROCEEDS</w:t>
              </w:r>
            </w:hyperlink>
          </w:p>
        </w:tc>
        <w:tc>
          <w:tcPr>
            <w:tcW w:w="275" w:type="dxa"/>
            <w:tcBorders/>
            <w:shd w:fill="CCEEFF" w:val="clear"/>
            <w:vAlign w:val="center"/>
          </w:tcPr>
          <w:p>
            <w:pPr>
              <w:pStyle w:val="TableContents"/>
              <w:bidi w:val="0"/>
              <w:spacing w:before="0" w:after="283"/>
              <w:ind w:left="0" w:right="0" w:hanging="720"/>
              <w:jc w:val="center"/>
              <w:rPr/>
            </w:pPr>
            <w:r>
              <w:rPr/>
              <w:t>3</w:t>
            </w:r>
          </w:p>
        </w:tc>
      </w:tr>
      <w:tr>
        <w:trPr/>
        <w:tc>
          <w:tcPr>
            <w:tcW w:w="8045" w:type="dxa"/>
            <w:tcBorders/>
            <w:shd w:fill="FFFFFF" w:val="clear"/>
            <w:vAlign w:val="center"/>
          </w:tcPr>
          <w:p>
            <w:pPr>
              <w:pStyle w:val="TableContents"/>
              <w:bidi w:val="0"/>
              <w:spacing w:before="0" w:after="283"/>
              <w:jc w:val="left"/>
              <w:rPr/>
            </w:pPr>
            <w:hyperlink w:anchor="a_006">
              <w:r>
                <w:rPr>
                  <w:rStyle w:val="InternetLink"/>
                </w:rPr>
                <w:t>DESCRIPTION OF SECURITIES</w:t>
              </w:r>
            </w:hyperlink>
          </w:p>
        </w:tc>
        <w:tc>
          <w:tcPr>
            <w:tcW w:w="275" w:type="dxa"/>
            <w:tcBorders/>
            <w:shd w:fill="FFFFFF" w:val="clear"/>
            <w:vAlign w:val="center"/>
          </w:tcPr>
          <w:p>
            <w:pPr>
              <w:pStyle w:val="TableContents"/>
              <w:bidi w:val="0"/>
              <w:spacing w:before="0" w:after="283"/>
              <w:ind w:left="0" w:right="0" w:hanging="720"/>
              <w:jc w:val="center"/>
              <w:rPr/>
            </w:pPr>
            <w:r>
              <w:rPr/>
              <w:t>4</w:t>
            </w:r>
          </w:p>
        </w:tc>
      </w:tr>
      <w:tr>
        <w:trPr/>
        <w:tc>
          <w:tcPr>
            <w:tcW w:w="8045" w:type="dxa"/>
            <w:tcBorders/>
            <w:shd w:fill="CCEEFF" w:val="clear"/>
            <w:vAlign w:val="center"/>
          </w:tcPr>
          <w:p>
            <w:pPr>
              <w:pStyle w:val="TableContents"/>
              <w:bidi w:val="0"/>
              <w:spacing w:before="0" w:after="283"/>
              <w:jc w:val="left"/>
              <w:rPr/>
            </w:pPr>
            <w:hyperlink w:anchor="a_007">
              <w:r>
                <w:rPr>
                  <w:rStyle w:val="InternetLink"/>
                </w:rPr>
                <w:t>DESCRIPTION OF CAPITAL STOCK</w:t>
              </w:r>
            </w:hyperlink>
          </w:p>
        </w:tc>
        <w:tc>
          <w:tcPr>
            <w:tcW w:w="275" w:type="dxa"/>
            <w:tcBorders/>
            <w:shd w:fill="CCEEFF" w:val="clear"/>
            <w:vAlign w:val="center"/>
          </w:tcPr>
          <w:p>
            <w:pPr>
              <w:pStyle w:val="TableContents"/>
              <w:bidi w:val="0"/>
              <w:spacing w:before="0" w:after="283"/>
              <w:ind w:left="0" w:right="0" w:hanging="720"/>
              <w:jc w:val="center"/>
              <w:rPr/>
            </w:pPr>
            <w:r>
              <w:rPr/>
              <w:t>5</w:t>
            </w:r>
          </w:p>
        </w:tc>
      </w:tr>
      <w:tr>
        <w:trPr/>
        <w:tc>
          <w:tcPr>
            <w:tcW w:w="8045" w:type="dxa"/>
            <w:tcBorders/>
            <w:shd w:fill="FFFFFF" w:val="clear"/>
            <w:vAlign w:val="center"/>
          </w:tcPr>
          <w:p>
            <w:pPr>
              <w:pStyle w:val="TableContents"/>
              <w:bidi w:val="0"/>
              <w:spacing w:before="0" w:after="283"/>
              <w:jc w:val="left"/>
              <w:rPr/>
            </w:pPr>
            <w:hyperlink w:anchor="a_008">
              <w:r>
                <w:rPr>
                  <w:rStyle w:val="InternetLink"/>
                </w:rPr>
                <w:t>DESCRIPTION OF DEBT SECURITIES</w:t>
              </w:r>
            </w:hyperlink>
          </w:p>
        </w:tc>
        <w:tc>
          <w:tcPr>
            <w:tcW w:w="275" w:type="dxa"/>
            <w:tcBorders/>
            <w:shd w:fill="FFFFFF" w:val="clear"/>
            <w:vAlign w:val="center"/>
          </w:tcPr>
          <w:p>
            <w:pPr>
              <w:pStyle w:val="TableContents"/>
              <w:bidi w:val="0"/>
              <w:spacing w:before="0" w:after="283"/>
              <w:ind w:left="0" w:right="0" w:hanging="720"/>
              <w:jc w:val="center"/>
              <w:rPr/>
            </w:pPr>
            <w:r>
              <w:rPr/>
              <w:t>13</w:t>
            </w:r>
          </w:p>
        </w:tc>
      </w:tr>
      <w:tr>
        <w:trPr/>
        <w:tc>
          <w:tcPr>
            <w:tcW w:w="8045" w:type="dxa"/>
            <w:tcBorders/>
            <w:shd w:fill="CCEEFF" w:val="clear"/>
            <w:vAlign w:val="center"/>
          </w:tcPr>
          <w:p>
            <w:pPr>
              <w:pStyle w:val="TableContents"/>
              <w:bidi w:val="0"/>
              <w:spacing w:before="0" w:after="283"/>
              <w:jc w:val="left"/>
              <w:rPr/>
            </w:pPr>
            <w:hyperlink w:anchor="m_001">
              <w:r>
                <w:rPr>
                  <w:rStyle w:val="InternetLink"/>
                </w:rPr>
                <w:t>DESCRIPTION OF EXISTING WARRANTS</w:t>
              </w:r>
            </w:hyperlink>
          </w:p>
        </w:tc>
        <w:tc>
          <w:tcPr>
            <w:tcW w:w="275" w:type="dxa"/>
            <w:tcBorders/>
            <w:shd w:fill="CCEEFF" w:val="clear"/>
            <w:vAlign w:val="center"/>
          </w:tcPr>
          <w:p>
            <w:pPr>
              <w:pStyle w:val="TableContents"/>
              <w:bidi w:val="0"/>
              <w:spacing w:before="0" w:after="283"/>
              <w:ind w:left="0" w:right="0" w:hanging="720"/>
              <w:jc w:val="center"/>
              <w:rPr/>
            </w:pPr>
            <w:r>
              <w:rPr/>
              <w:t>15</w:t>
            </w:r>
          </w:p>
        </w:tc>
      </w:tr>
      <w:tr>
        <w:trPr/>
        <w:tc>
          <w:tcPr>
            <w:tcW w:w="8045" w:type="dxa"/>
            <w:tcBorders/>
            <w:shd w:fill="FFFFFF" w:val="clear"/>
            <w:vAlign w:val="center"/>
          </w:tcPr>
          <w:p>
            <w:pPr>
              <w:pStyle w:val="TableContents"/>
              <w:bidi w:val="0"/>
              <w:spacing w:before="0" w:after="283"/>
              <w:jc w:val="left"/>
              <w:rPr/>
            </w:pPr>
            <w:hyperlink w:anchor="a_009">
              <w:r>
                <w:rPr>
                  <w:rStyle w:val="InternetLink"/>
                </w:rPr>
                <w:t>DESCRIPTION OF NEW WARRANTS</w:t>
              </w:r>
            </w:hyperlink>
          </w:p>
        </w:tc>
        <w:tc>
          <w:tcPr>
            <w:tcW w:w="275" w:type="dxa"/>
            <w:tcBorders/>
            <w:shd w:fill="FFFFFF" w:val="clear"/>
            <w:vAlign w:val="center"/>
          </w:tcPr>
          <w:p>
            <w:pPr>
              <w:pStyle w:val="TableContents"/>
              <w:bidi w:val="0"/>
              <w:spacing w:before="0" w:after="283"/>
              <w:ind w:left="0" w:right="0" w:hanging="720"/>
              <w:jc w:val="center"/>
              <w:rPr/>
            </w:pPr>
            <w:r>
              <w:rPr/>
              <w:t>19</w:t>
            </w:r>
          </w:p>
        </w:tc>
      </w:tr>
      <w:tr>
        <w:trPr/>
        <w:tc>
          <w:tcPr>
            <w:tcW w:w="8045" w:type="dxa"/>
            <w:tcBorders/>
            <w:shd w:fill="CCEEFF" w:val="clear"/>
            <w:vAlign w:val="center"/>
          </w:tcPr>
          <w:p>
            <w:pPr>
              <w:pStyle w:val="TableContents"/>
              <w:bidi w:val="0"/>
              <w:spacing w:before="0" w:after="283"/>
              <w:jc w:val="left"/>
              <w:rPr/>
            </w:pPr>
            <w:hyperlink w:anchor="a_010">
              <w:r>
                <w:rPr>
                  <w:rStyle w:val="InternetLink"/>
                </w:rPr>
                <w:t>DESCRIPTION OF SUBSCRIPTION RIGHTS</w:t>
              </w:r>
            </w:hyperlink>
          </w:p>
        </w:tc>
        <w:tc>
          <w:tcPr>
            <w:tcW w:w="275" w:type="dxa"/>
            <w:tcBorders/>
            <w:shd w:fill="CCEEFF" w:val="clear"/>
            <w:vAlign w:val="center"/>
          </w:tcPr>
          <w:p>
            <w:pPr>
              <w:pStyle w:val="TableContents"/>
              <w:bidi w:val="0"/>
              <w:spacing w:before="0" w:after="283"/>
              <w:ind w:left="0" w:right="0" w:hanging="720"/>
              <w:jc w:val="center"/>
              <w:rPr/>
            </w:pPr>
            <w:r>
              <w:rPr/>
              <w:t>20</w:t>
            </w:r>
          </w:p>
        </w:tc>
      </w:tr>
      <w:tr>
        <w:trPr/>
        <w:tc>
          <w:tcPr>
            <w:tcW w:w="8045" w:type="dxa"/>
            <w:tcBorders/>
            <w:shd w:fill="FFFFFF" w:val="clear"/>
            <w:vAlign w:val="center"/>
          </w:tcPr>
          <w:p>
            <w:pPr>
              <w:pStyle w:val="TableContents"/>
              <w:bidi w:val="0"/>
              <w:spacing w:before="0" w:after="283"/>
              <w:jc w:val="left"/>
              <w:rPr/>
            </w:pPr>
            <w:hyperlink w:anchor="a_011">
              <w:r>
                <w:rPr>
                  <w:rStyle w:val="InternetLink"/>
                </w:rPr>
                <w:t>DESCRIPTION OF PURCHASE UNITS</w:t>
              </w:r>
            </w:hyperlink>
          </w:p>
        </w:tc>
        <w:tc>
          <w:tcPr>
            <w:tcW w:w="275" w:type="dxa"/>
            <w:tcBorders/>
            <w:shd w:fill="FFFFFF" w:val="clear"/>
            <w:vAlign w:val="center"/>
          </w:tcPr>
          <w:p>
            <w:pPr>
              <w:pStyle w:val="TableContents"/>
              <w:bidi w:val="0"/>
              <w:spacing w:before="0" w:after="283"/>
              <w:ind w:left="0" w:right="0" w:hanging="720"/>
              <w:jc w:val="center"/>
              <w:rPr/>
            </w:pPr>
            <w:r>
              <w:rPr/>
              <w:t>21</w:t>
            </w:r>
          </w:p>
        </w:tc>
      </w:tr>
      <w:tr>
        <w:trPr/>
        <w:tc>
          <w:tcPr>
            <w:tcW w:w="8045" w:type="dxa"/>
            <w:tcBorders/>
            <w:shd w:fill="CCEEFF" w:val="clear"/>
            <w:vAlign w:val="center"/>
          </w:tcPr>
          <w:p>
            <w:pPr>
              <w:pStyle w:val="TableContents"/>
              <w:bidi w:val="0"/>
              <w:spacing w:before="0" w:after="283"/>
              <w:jc w:val="left"/>
              <w:rPr/>
            </w:pPr>
            <w:hyperlink w:anchor="a_012">
              <w:r>
                <w:rPr>
                  <w:rStyle w:val="InternetLink"/>
                </w:rPr>
                <w:t>SELLING SECURITYHOLDERS</w:t>
              </w:r>
            </w:hyperlink>
          </w:p>
        </w:tc>
        <w:tc>
          <w:tcPr>
            <w:tcW w:w="275" w:type="dxa"/>
            <w:tcBorders/>
            <w:shd w:fill="CCEEFF" w:val="clear"/>
            <w:vAlign w:val="center"/>
          </w:tcPr>
          <w:p>
            <w:pPr>
              <w:pStyle w:val="TableContents"/>
              <w:bidi w:val="0"/>
              <w:spacing w:before="0" w:after="283"/>
              <w:ind w:left="0" w:right="0" w:hanging="720"/>
              <w:jc w:val="center"/>
              <w:rPr/>
            </w:pPr>
            <w:r>
              <w:rPr/>
              <w:t>22</w:t>
            </w:r>
          </w:p>
        </w:tc>
      </w:tr>
      <w:tr>
        <w:trPr/>
        <w:tc>
          <w:tcPr>
            <w:tcW w:w="8045" w:type="dxa"/>
            <w:tcBorders/>
            <w:shd w:fill="FFFFFF" w:val="clear"/>
            <w:vAlign w:val="center"/>
          </w:tcPr>
          <w:p>
            <w:pPr>
              <w:pStyle w:val="TableContents"/>
              <w:bidi w:val="0"/>
              <w:spacing w:before="0" w:after="283"/>
              <w:jc w:val="left"/>
              <w:rPr/>
            </w:pPr>
            <w:hyperlink w:anchor="a_013">
              <w:r>
                <w:rPr>
                  <w:rStyle w:val="InternetLink"/>
                </w:rPr>
                <w:t>PLAN OF DISTRIBUTION</w:t>
              </w:r>
            </w:hyperlink>
          </w:p>
        </w:tc>
        <w:tc>
          <w:tcPr>
            <w:tcW w:w="275" w:type="dxa"/>
            <w:tcBorders/>
            <w:shd w:fill="FFFFFF" w:val="clear"/>
            <w:vAlign w:val="center"/>
          </w:tcPr>
          <w:p>
            <w:pPr>
              <w:pStyle w:val="TableContents"/>
              <w:bidi w:val="0"/>
              <w:spacing w:before="0" w:after="283"/>
              <w:ind w:left="0" w:right="0" w:hanging="720"/>
              <w:jc w:val="center"/>
              <w:rPr/>
            </w:pPr>
            <w:r>
              <w:rPr/>
              <w:t>23</w:t>
            </w:r>
          </w:p>
        </w:tc>
      </w:tr>
      <w:tr>
        <w:trPr/>
        <w:tc>
          <w:tcPr>
            <w:tcW w:w="8045" w:type="dxa"/>
            <w:tcBorders/>
            <w:shd w:fill="CCEEFF" w:val="clear"/>
            <w:vAlign w:val="center"/>
          </w:tcPr>
          <w:p>
            <w:pPr>
              <w:pStyle w:val="TableContents"/>
              <w:bidi w:val="0"/>
              <w:spacing w:before="0" w:after="283"/>
              <w:jc w:val="left"/>
              <w:rPr/>
            </w:pPr>
            <w:hyperlink w:anchor="a_014">
              <w:r>
                <w:rPr>
                  <w:rStyle w:val="InternetLink"/>
                </w:rPr>
                <w:t>LEGAL MATTERS</w:t>
              </w:r>
            </w:hyperlink>
          </w:p>
        </w:tc>
        <w:tc>
          <w:tcPr>
            <w:tcW w:w="275" w:type="dxa"/>
            <w:tcBorders/>
            <w:shd w:fill="CCEEFF" w:val="clear"/>
            <w:vAlign w:val="center"/>
          </w:tcPr>
          <w:p>
            <w:pPr>
              <w:pStyle w:val="TableContents"/>
              <w:bidi w:val="0"/>
              <w:spacing w:before="0" w:after="283"/>
              <w:ind w:left="0" w:right="0" w:hanging="720"/>
              <w:jc w:val="center"/>
              <w:rPr/>
            </w:pPr>
            <w:r>
              <w:rPr/>
              <w:t>24</w:t>
            </w:r>
          </w:p>
        </w:tc>
      </w:tr>
      <w:tr>
        <w:trPr/>
        <w:tc>
          <w:tcPr>
            <w:tcW w:w="8045" w:type="dxa"/>
            <w:tcBorders/>
            <w:shd w:fill="FFFFFF" w:val="clear"/>
            <w:vAlign w:val="center"/>
          </w:tcPr>
          <w:p>
            <w:pPr>
              <w:pStyle w:val="TableContents"/>
              <w:bidi w:val="0"/>
              <w:spacing w:before="0" w:after="283"/>
              <w:jc w:val="left"/>
              <w:rPr/>
            </w:pPr>
            <w:hyperlink w:anchor="a_015">
              <w:r>
                <w:rPr>
                  <w:rStyle w:val="InternetLink"/>
                </w:rPr>
                <w:t>EXPERTS</w:t>
              </w:r>
            </w:hyperlink>
          </w:p>
        </w:tc>
        <w:tc>
          <w:tcPr>
            <w:tcW w:w="275" w:type="dxa"/>
            <w:tcBorders/>
            <w:shd w:fill="FFFFFF" w:val="clear"/>
            <w:vAlign w:val="center"/>
          </w:tcPr>
          <w:p>
            <w:pPr>
              <w:pStyle w:val="TableContents"/>
              <w:bidi w:val="0"/>
              <w:spacing w:before="0" w:after="283"/>
              <w:ind w:left="0" w:right="0" w:hanging="720"/>
              <w:jc w:val="center"/>
              <w:rPr/>
            </w:pPr>
            <w:r>
              <w:rPr/>
              <w:t>25</w:t>
            </w:r>
          </w:p>
        </w:tc>
      </w:tr>
      <w:tr>
        <w:trPr/>
        <w:tc>
          <w:tcPr>
            <w:tcW w:w="8045" w:type="dxa"/>
            <w:tcBorders/>
            <w:shd w:fill="CCEEFF" w:val="clear"/>
            <w:vAlign w:val="center"/>
          </w:tcPr>
          <w:p>
            <w:pPr>
              <w:pStyle w:val="TableContents"/>
              <w:bidi w:val="0"/>
              <w:spacing w:before="0" w:after="283"/>
              <w:jc w:val="left"/>
              <w:rPr/>
            </w:pPr>
            <w:hyperlink w:anchor="a_016">
              <w:r>
                <w:rPr>
                  <w:rStyle w:val="InternetLink"/>
                </w:rPr>
                <w:t>WHERE YOU CAN FIND MORE INFORMATION</w:t>
              </w:r>
            </w:hyperlink>
          </w:p>
        </w:tc>
        <w:tc>
          <w:tcPr>
            <w:tcW w:w="275" w:type="dxa"/>
            <w:tcBorders/>
            <w:shd w:fill="CCEEFF" w:val="clear"/>
            <w:vAlign w:val="center"/>
          </w:tcPr>
          <w:p>
            <w:pPr>
              <w:pStyle w:val="TableContents"/>
              <w:bidi w:val="0"/>
              <w:spacing w:before="0" w:after="283"/>
              <w:ind w:left="0" w:right="0" w:hanging="720"/>
              <w:jc w:val="center"/>
              <w:rPr/>
            </w:pPr>
            <w:r>
              <w:rPr/>
              <w:t>26</w:t>
            </w:r>
          </w:p>
        </w:tc>
      </w:tr>
      <w:tr>
        <w:trPr/>
        <w:tc>
          <w:tcPr>
            <w:tcW w:w="8045" w:type="dxa"/>
            <w:tcBorders/>
            <w:shd w:fill="FFFFFF" w:val="clear"/>
            <w:vAlign w:val="center"/>
          </w:tcPr>
          <w:p>
            <w:pPr>
              <w:pStyle w:val="TableContents"/>
              <w:bidi w:val="0"/>
              <w:spacing w:before="0" w:after="283"/>
              <w:jc w:val="left"/>
              <w:rPr/>
            </w:pPr>
            <w:hyperlink w:anchor="a_017">
              <w:r>
                <w:rPr>
                  <w:rStyle w:val="InternetLink"/>
                </w:rPr>
                <w:t>INCORPORATION OF CERTAIN DOCUMENTS BY REFERENCE</w:t>
              </w:r>
            </w:hyperlink>
          </w:p>
        </w:tc>
        <w:tc>
          <w:tcPr>
            <w:tcW w:w="275" w:type="dxa"/>
            <w:tcBorders/>
            <w:shd w:fill="FFFFFF" w:val="clear"/>
            <w:vAlign w:val="center"/>
          </w:tcPr>
          <w:p>
            <w:pPr>
              <w:pStyle w:val="TableContents"/>
              <w:bidi w:val="0"/>
              <w:spacing w:before="0" w:after="283"/>
              <w:jc w:val="center"/>
              <w:rPr/>
            </w:pPr>
            <w:r>
              <w:rPr/>
              <w:t>27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r_00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are part of an automatic registration statement on Form S-3 that we filed with the SEC utilizing a “shelf” registration process as a “well-known seasoned issuer,” as defined in Rule 405 under the Securities Act of 1933, as amended (the “Securities Act”). Under this process, the Selling Stockholders named in this prospectus supplement may sell the Conversion Shares from time to time. The exhibits to the registration statement of which this prospectus supplement is a part and documents incorporated by reference herein contain the full text of certain contracts and other important documents that we have summarized in this prospectus supplement and the accompanying prospectus. Since these summaries may not contain all the information that you may find important in deciding whether to acquire or purchase Conversion Shares offered by this prospectus supplement, you should review the full text of these documents. We may provide an additional prospectus supplement or post-effective amendment to the registration statement of which this prospectus supplement forms a part to add to, update or change the information contained in this prospectus supplement. The registration statement and the exhibits and other documents can be obtained from the SEC as indicated under the section entitled “Where You Can Find More Information” and “Incorporation of Certain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when we refer to this “prospectus supplement,” we are referring to both this prospectus supplement and the accompanying prospectus, as well as the documents incorporated by reference herein and therein.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statements made in the accompanying prospectus and documents incorporated by reference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offer the Securities directly or through one or more broker-dealers or agents. See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Stockholders have authorized anyone to provide you with any information or to make any representations other than those contained in this prospectus supplement prepared by or on behalf of us or to which we have referred you. We and the Selling Stockholders take no responsibility for, and can provide no assurance as to the reliability of, any other information that others may give you. The information contained in this prospectus supplement is accurate only as of its respective date. Our business, financial condition, results of operations and prospects may have changed materially since those dates. Neither we nor the Selling Stockholders will make an offer to sell these Conversion Shares in any jurisdiction where the offer or sale is not permitted.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supplement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and should not be relied on as accurately representing the current state of our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supplement, unless otherwise stated or unless the context otherwise requires: references to the “Company,” “T1 Energy,” the “registrant,” “we,” “our,” “us” and similar terms are to T1 Energy Inc., a Delaware corporation, and where appropriate, its wholly-owned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r_002"/>
      <w:bookmarkEnd w:id="3"/>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including the information and documents incorporated by reference herein and therein, contain forward-looking statements within the meaning of Section 27A of the Securities Act and Section 21E of the Securities Exchange Act of 1934, as amended (the “Exchange Act”). All statements other than statements of historical or current facts contained or incorporated by reference in this prospectus supplement and the accompanying prospectus may be forward-looking statements. Statements regarding our future results and timing of operations, expected performance and financial position, business strategy and plans and objectives of management for future operations, including, among others, statements regarding liquidity, growth and profitability strategies and factors and trends affecting our business are forward-looking statements. Forward-looking statements can be identified in some cases by the use of words such as “believe,” “can,” “could,” “potential,” “plan,” “predict,” “goals,” “seek,” “should,” “may,” “may have,” “would,” “estimate,” “continue,” “anticipate,” “intend,” “expect,” or the negative of these words, other similar expressions or by discussions of strategy, plans or intentions and are intended to identify forward-looking statements, although not all forward-looking statements contain such identifying words.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or incorporated by reference in this prospectus supplement and the accompanying prospectus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or industry results, to be materially different from any future results, performance or achievements expressed or implied by the forward-looking statements. We believe that these risks, uncertainties and other important factors include, without limitation, the risks set forth in Part I, Item 1A, “Risk Factors” in our Annual Report on Form 10-K for the year ended December 31, 2025 filed with the SEC on March 31, 2026, as amended and supplemented by Amendment No. 1 on Form 10-K/A filed with the SEC on April 30, 2026, and in our subsequent Quarterly Reports on Form 10-Q and our other filings with the SEC, including risks related to: (1) the Company’s ability to (i) construct and equip manufacturing facilities in a timely and cost-effective manner; (ii) target and retain customers and suppliers; (iii) attract and retain key employees and qualified personnel; (iv) protect its intellectual property; (v) comply with legal and environmental regulations; (vi) compete in international markets in light of export and import controls; (vii) incur substantially more debt; (viii) remediate the material weakness in the Company’s internal control over financial reporting or otherwise maintain effective internal control over financial reporting; (ix) qualify for the advanced manufacturing production credit under Section 45X of the Internal Revenue Code of 1986, as amended (the “Code”); and (x) the Company’s exposure to warranty claims; (2) the Company’s ability to secure a comprehensive financing solution to fund the remaining capital expenditure for Phase 1 of G2_Austin (as defined herein) on favorable terms, or at all, and the timing of such financing; (3) the concentration of the Company’s operations in Texas and its dependence on a limited number of suppliers; (4) changes adversely affecting the flow of components and materials from international vendors, the costs of raw materials, components, equipment, and machinery; (5) general economic and geopolitical conditions; (6) changes in applicable laws or regulations, including environmental, export control and tax laws and incentives and renewable energy targets, as well as international trade policies, including tariffs, on the Company’s products and competitive position (including T1’s ability to obtain tariff refunds); (7) the outcome of any legal proceedings relating to the Company’s products and services, including intellectual property or product liability claims, commercial or contractual disputes, warranty claims, and other proceedings; and (8) the capital-intensive nature of the Company’s business and its ability to raise additional capital on attractive terms or service its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on information available to us as of the date of this prospectus supplement or the accompanying prospectus, or the documents incorporated by reference herein or therein, and while we believe such information provides a reasonable basis for these statements, and our management is responsible for the accuracy of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supplement and the accompanying prospectus, and the documents incorporated by reference herein and therein, with the understanding that our actual future results, levels of activity, performance and achievements may be materially different from what we expect. All forward-looking statements attributable to us or persons acting on our behalf are expressly qualified in their entirety by these cautionary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speak only as of the date of this prospectus supplement or, in the case of the accompanying prospectus or the documents incorporated by reference herein or therein, the date of any such document. Except as required by applicable law, we do not assume any obligation to update or revise any forward-looking statement, whether as a result of any new information, future events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4" w:name="r_003"/>
      <w:bookmarkEnd w:id="4"/>
      <w:r>
        <w:rPr>
          <w:rFonts w:ascii="Times New Roman;Times;Serif" w:hAnsi="Times New Roman;Times;Serif"/>
          <w:b/>
          <w:i w:val="false"/>
          <w:caps w:val="false"/>
          <w:smallCaps w:val="false"/>
          <w:sz w:val="20"/>
          <w:bdr w:val="single" w:sz="12" w:space="5" w:color="000000"/>
        </w:rPr>
        <w:t>SUMMARY OF THIS PROSPECTUS SUPPLEMENT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selected information appearing elsewhere in this prospectus supplement and the accompanying prospectus. Because it is a summary, it may not contain all of the information that may be important to you. To understand this offering fully, you should read this prospectus supplement and the accompanying prospectus carefully, including the information set forth under the heading “Risk Factors” and our financial statements and related notes included in or incorporated by reference into this prospectus supplement and the accompanying prospectus and the documents to which we refer in the “Incorporation of Certain Documents by Reference” section below.</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Company Overview</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T1 Energy is an energy solutions provider building an integrated U.S. supply chain for solar modules and cells. We manufacture and sell photovoltaic (“PV”) solar modules in the United States.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one of the leading solar manufacturing companies in the United States, primarily selling into the utility-scale market, the largest solar market segment in the U.S. We produce PV solar modules that employ highly energy efficient Passivated Emitter and Rear Contact and Tunnel Oxide Passivated Contact (“TOPCon”) technologies. Our PV solar module manufacturing facility operating in Wilmer, TX (“G1_Dallas”) has a total annual nameplate production capacity of five gigawatts. We believe our facility is one of the most technologically advanced PV solar module plants globally and has achieved annualized run rates above its nameplate capacity. To further expand our U.S. manufacturing footprint, we began construction in December 2025 of the first 2.1-gigawatt phase of our solar cell manufacturing fab in Milam County, Texas (“G2_Austin”). This facility is anticipated to begin production in the first quarter of 2027 of high-efficiency TOPCon solar cells that will be used in the PV solar modules manufactured at G1_Dallas.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Private Placement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July 29, 2026, we entered into note purchase agreements with the Selling Stockholders named therein (collectively, the “Purchase Agreements”) for the private placement of $120.0 million aggregate principal amount of Convertible Notes. The private placement was completed on July 31, 2026.</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Convertible Notes were issued pursuant to an Indenture, dated as of July 31, 2026 (the “Indenture”), between T1 Energy and U.S. Bank Trust Company, National Association, as trustee (in such capacity, the “Trustee”). The Convertible Notes are our senior unsecured obligations and bear interest at a rate of 4.75% per annum, payable semi-annually in arrears on February 1 and August 1 of each year, beginning on February 1, 2027. The Convertible Notes will mature on August 1, 2031, unless earlier repurchased, redeemed or converted.</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Before May 1, 2031, holders may convert their Convertible Notes at their option only in certain circumstances. At any time from, and including, May 1, 2031 until the close of business on the business day immediately preceding the maturity date, the Convertible Notes will be convertible at the option of the holders. We will settle conversions by paying and/or delivering, as applicable, cash, shares of our common stock, or a combination of cash and shares of our common stock, at our election. The initial conversion rate is 224.0143 shares of our common stock per $1,000 principal amount of the Convertible Notes, which is equivalent to an initial conversion price of approximately $4.46 per share of common stock. If a “make-whole fundamental change” (as defined in the Indenture) occurs, or if we call a holder’s Convertible Notes for redemption, then we will in certain circumstances increase the conversion rate for a specified period of time for holders who convert their Convertible Notes in connection with that make-whole fundamental change, or who convert their Convertible Notes that are called for such redemption (up to a maximum of 44.8029 additional shares of common stock per $1,000 original principal amount). We may ultimately deliver fewer or none of such shares of common stock in connection with the Convertible Notes.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Convertible Notes will not be redeemable prior to August 6, 2029. The Convertible Notes will be redeemable, in whole or in part (subject to certain limitations), at our option at any time, and from time to time, on or after August 6, 2029 and prior to the 41st scheduled trading day immediately before the maturity date, at a cash redemption price equal to the principal amount of the Convertible Notes to be redeemed, plus accrued and unpaid interest, if any, to, but excluding, the redemption date, but only if the last reported sale price per share of our common stock equals or exceeds 130% of the conversion price for the Convertible Notes on (1) each of at least 20 trading days, whether or not consecutive, during the 30 consecutive trading days ending on, and including, the trading day immediately before the date we send the related redemption notice; and (2) the trading day immediately before the date we send such notice.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If a “fundamental change” (as defined in the Indenture) occurs, then, subject to certain exceptions, holders may require us to repurchase their Convertible Notes at a cash repurchase price equal to the principal amount of the Convertible Notes to be repurchased, plus accrued and unpaid interest, if any, to, but excluding, the fundamental change repurchase date.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Stock Exchange Listing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common stock is currently listed on the NYSE under the symbol “TE.”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mailing address of T1 Energy’s registered and principal executive office is 1211 E 4th St. Austin, Texas 78702. The telephone number of T1 Energy’s registered and principal executive office is 409-599-5706.</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Our investor relations website is located at </w:t>
      </w:r>
      <w:r>
        <w:rPr>
          <w:rFonts w:ascii="Times New Roman;Times;Serif" w:hAnsi="Times New Roman;Times;Serif"/>
          <w:b w:val="false"/>
          <w:i/>
          <w:caps w:val="false"/>
          <w:smallCaps w:val="false"/>
          <w:sz w:val="20"/>
          <w:bdr w:val="single" w:sz="12" w:space="5" w:color="000000"/>
        </w:rPr>
        <w:t>https://ir.t1energy.com/</w:t>
      </w:r>
      <w:r>
        <w:rPr>
          <w:rFonts w:ascii="Times New Roman;Times;Serif" w:hAnsi="Times New Roman;Times;Serif"/>
          <w:b w:val="false"/>
          <w:i w:val="false"/>
          <w:caps w:val="false"/>
          <w:smallCaps w:val="false"/>
          <w:sz w:val="20"/>
          <w:bdr w:val="single" w:sz="12" w:space="5" w:color="000000"/>
        </w:rPr>
        <w:t xml:space="preserve">, and its news site located at </w:t>
      </w:r>
      <w:r>
        <w:rPr>
          <w:rFonts w:ascii="Times New Roman;Times;Serif" w:hAnsi="Times New Roman;Times;Serif"/>
          <w:b w:val="false"/>
          <w:i/>
          <w:caps w:val="false"/>
          <w:smallCaps w:val="false"/>
          <w:sz w:val="20"/>
          <w:bdr w:val="single" w:sz="12" w:space="5" w:color="000000"/>
        </w:rPr>
        <w:t>https://ir.t1energy.com</w:t>
      </w:r>
      <w:r>
        <w:rPr>
          <w:rFonts w:ascii="Times New Roman;Times;Serif" w:hAnsi="Times New Roman;Times;Serif"/>
          <w:b w:val="false"/>
          <w:i w:val="false"/>
          <w:caps w:val="false"/>
          <w:smallCaps w:val="false"/>
          <w:sz w:val="20"/>
          <w:bdr w:val="single" w:sz="12" w:space="5" w:color="000000"/>
        </w:rPr>
        <w:t>/</w:t>
      </w:r>
      <w:r>
        <w:rPr>
          <w:rFonts w:ascii="Times New Roman;Times;Serif" w:hAnsi="Times New Roman;Times;Serif"/>
          <w:b w:val="false"/>
          <w:i/>
          <w:caps w:val="false"/>
          <w:smallCaps w:val="false"/>
          <w:sz w:val="20"/>
          <w:bdr w:val="single" w:sz="12" w:space="5" w:color="000000"/>
        </w:rPr>
        <w:t>news-releases/news-releases</w:t>
      </w:r>
      <w:r>
        <w:rPr>
          <w:rFonts w:ascii="Times New Roman;Times;Serif" w:hAnsi="Times New Roman;Times;Serif"/>
          <w:b w:val="false"/>
          <w:i w:val="false"/>
          <w:caps w:val="false"/>
          <w:smallCaps w:val="false"/>
          <w:sz w:val="20"/>
          <w:bdr w:val="single" w:sz="12" w:space="5" w:color="000000"/>
        </w:rPr>
        <w:t>. Our X (f/k/a Twitter) account is located at https://x.com/T1_Energy, our LinkedIn account is located at https://www.linkedin.com/company/t1energy, and our Instagram account is located at https://www.instagram.com/t1_energy/. We use our investor relations website, our X account and our LinkedIn account as well as Daniel Barcelo’s X account (https://x.com/_danielbarcelo), LinkedIn account (https://www.linkedin.com/in/daniel-barcelo-b262a939/) and Instagram account (https://www.instagram.com/danbarcelo/)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our X account and our LinkedIn account, in addition to following press releases, SEC filings and public conference calls and webcasts. Our website, X account and our LinkedIn account and the information contained on each, or that can be accessed through each, is not deemed to be incorporated by reference in, and is not considered part of, this prospectus supplement or the accompanying prospectus, and you should not consider it a part of this prospectus supplement or the accompanying prospectus. We also make available, free of charge, on our investor relations website under “Financials—SEC Filings,” our Annual Reports on Form 10-K, Quarterly Reports on Form 10-Q, Current Reports on Form 8-K and amendments to these reports as soon as reasonably practicable after electronically filing or furnishing those reports to the SEC.</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r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common stock involves significant risks. Prior to making a decision about investing in our common stock, and in consultation with your own financial and legal advisors, you should carefully consider, among other matters, the following risk factors, as well as those incorporated by reference in this prospectus supplement from our most recent Annual Report on Form 10-K, as revised or supplemented by our subsequent Quarterly Reports on Form 10-Q, under the headings “Risk Factors” and “Management’s Discussion and Analysis of Financial Condition and Results of Operations” and other filings we may make from time to time with the SEC. The risks described below are not the only ones facing our company. Additional risks not presently known to us or that we currently consider less significant may also impair our business operations. Our business, financial condition, or results of operations could be materially adversely affected by any of these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prospectus supplement also contains or incorporates by reference forward-looking statements that involve risks and uncertainties. Our actual results could differ materially from those anticipated in such forward-looking statements as a result of certain factors, including the risks faced by us described below and elsewhere in this prospectus supplement. See “Cautionary Note Regarding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concentration of ownership among our executive officers, directors, and their affiliates may prevent new investors from influencing significant corporate decisions.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directors, and their affiliates own shares of our common stock as well as other securities convertible into or exchangeable for shares of our common stock, outstanding options and/or may have certain contractual anti-dilution rights, as applicable, which in each case, may allow them to acquire additional shares of our common stock. As a result, these stockholders as a group could exercise a level of control over matters requiring stockholder approval, including the election of directors, amendment of our Certificate of Incorporation (as defined herein), and approval of significant corporate transactions. This control could have the effect of delaying or preventing a change of control or changes in management and will make the approval of certain transactions more difficult without the support of these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is likely to be highly volatile, and you may lose some or all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is likely to be highly volatile and may be subject to wide fluctuations in response to a variety of factors, including the following:</w:t>
      </w:r>
    </w:p>
    <w:p>
      <w:pPr>
        <w:pStyle w:val="TextBody"/>
        <w:bidi w:val="0"/>
        <w:spacing w:before="0" w:after="0"/>
        <w:ind w:left="0" w:right="0" w:firstLine="720"/>
        <w:jc w:val="both"/>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75"/>
        <w:gridCol w:w="170"/>
        <w:gridCol w:w="6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inability to maintain the listing of our shares of common stock on NYSE;</w:t>
            </w:r>
          </w:p>
        </w:tc>
      </w:tr>
    </w:tbl>
    <w:p>
      <w:pPr>
        <w:pStyle w:val="TextBody"/>
        <w:bidi w:val="0"/>
        <w:spacing w:before="0" w:after="0"/>
        <w:ind w:left="1080" w:right="0" w:hanging="36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75"/>
        <w:gridCol w:w="170"/>
        <w:gridCol w:w="3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applicable laws or regulations;</w:t>
            </w:r>
          </w:p>
        </w:tc>
      </w:tr>
    </w:tbl>
    <w:p>
      <w:pPr>
        <w:pStyle w:val="TextBody"/>
        <w:bidi w:val="0"/>
        <w:spacing w:before="0" w:after="0"/>
        <w:ind w:left="1080" w:right="0" w:hanging="36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relating to the uncertainty of our projected financial information; and</w:t>
            </w:r>
          </w:p>
        </w:tc>
      </w:tr>
    </w:tbl>
    <w:p>
      <w:pPr>
        <w:pStyle w:val="TextBody"/>
        <w:bidi w:val="0"/>
        <w:spacing w:before="0" w:after="0"/>
        <w:ind w:left="1080" w:right="0" w:hanging="360"/>
        <w:jc w:val="both"/>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75"/>
        <w:gridCol w:w="170"/>
        <w:gridCol w:w="91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the organic and inorganic growth of our business and the timing of expected business milestones.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markets have experienced extreme price and volume fluctuations that have affected and continue to affect the market prices of equity securities of many companies. These fluctuations have often been unrelated or disproportionate to the operating performance of those companies. Broad market and industry factors, as well as general economic, political, regulatory and market conditions, may negatively affect the market price of our common stock, regardless of our actual operating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publish inaccurate or unfavorable research about our business, our share price and trading volume could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be influenced by the research and reports that securities or industry analysts publish about us. If securities or industry analysts initiate coverage and one or more of the analysts who cover us downgrade our common stock or publish inaccurate or unfavorable research about our company, our common stock share price would likely decline. If analysts publish target prices for our common stock that are below the historical sales prices for shares of our common stock on a securities exchange or the then-current public price of our common stock, it could cause our stock price to decline significantly. Further, if one or more of these analysts cease coverage of us or fail to publish reports on us regularly, demand for our common stock could decrease, which might cause our common stock price and trading volume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offerings of debt, which would be senior to our common stock upon liquidation, and/or preferred equity securities, which may be senior to our common stock for purposes of dividend distributions or upon liquidation, may adversely affect the market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attempt to increase our capital resources by making offerings of debt or additional preferred equity securities, including senior or subordinated notes and entering into new loan agreements. Upon liquidation, holders of our debt securities and preferred stock and lenders with respect to other borrowings will receive distributions of our available assets prior to the holders of our common stock. Additional equity and equity-linked offerings may dilute the holdings of our existing stockholders or reduce the market price of our common stock, or both. Except as otherwise disclosed in SEC filings, holders of our common stock are not entitled to preemptive rights or other protections against dilution. Because our decision to issue securities in any future offering and to enter into new loan agreements will depend on market conditions and other factors, many of which are beyond our control, we cannot predict or estimate the amount, timing or nature of our future offerings or borrowings. Thus, our stockholders bear the risk of our future offerings or loan arrangements reducing the market price of our common stock, reducing our assets available to them upon our liquidation and diluting their shareholdings in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issuances and sales of our common stock or equity-linked securities in the public market and/or in connection with the acquisition of businesses or assets could lower the trading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sell additional shares of our common stock or equity-linked securities to raise capital and/or may issue such securities in connection with the acquisition of businesses or assets. In addition, a substantial number of shares of our common stock is, or will be, reserved for issuance upon the exercise of stock options and the vesting of restricted stock units pursuant to our equity incentive plans, upon conversion of our preferred stock and upon conversion of our outstanding 5.25% Convertible Senior Notes due 2030, 4.00% Convertible Senior Notes due 2031 and the Convertible Notes. We cannot predict the size of future issuances or the effect, if any, that they may have on the market price for our common stock. The issuance and sale of substantial amounts of common stock or equity-linked securities, or the perception that such issuances and sales may occur, could adversely affect the market price of our common stock and impair our ability to raise capital through the sale of additional equity or equity-linked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common stock expected to be sold in this offering will be freely tradable without restriction or further registration under the Securities Act, unless held by our “affiliates” as defined in Rule 144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do not anticipate paying any cash dividends in the foreseeable future, capital appreciation, if any, would be your sole source of gain.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capital-intensive nature of our business, we do not currently anticipate declaring any cash dividends to holders of our common stock in the foreseeable future. As a result, capital appreciation, if any, of our shares of common stock would be your sole source of gain on an investment in such shares for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r_005"/>
      <w:bookmarkEnd w:id="6"/>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Conversion Shares offered by the Selling Stockholders pursuant to this prospectus supplement will be sold by the Selling Stockholders for their respective accounts. We cannot currently determine the price or prices at which such Conversion Shares may be sold by the Selling Stockholders, if at all. We will not receive any of the proceeds from these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pay any discounts, selling commissions and other expenses, if any, applicable to the shares of common stock that they incur in disposing of any Conversion Shares offered by this prospectus supplement. We will bear all other costs, fees and expenses incurred in effecting the registration of the Conversion Shares covered by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r_006"/>
      <w:bookmarkEnd w:id="7"/>
      <w:r>
        <w:rPr>
          <w:rFonts w:ascii="Times New Roman;Times;Serif" w:hAnsi="Times New Roman;Times;Serif"/>
          <w:b/>
          <w:i w:val="false"/>
          <w:caps w:val="false"/>
          <w:smallCaps w:val="false"/>
          <w:sz w:val="20"/>
        </w:rPr>
        <w:t>DESCRIPTION OF SECURITIES BEING REGISTERED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summary of the material terms of the Company’s common stock and is not intended to be a complete summary of the rights and preferences of our common stock. The Company’s Amended and Restated Certificate of Incorporation, as amended (the “Certificate of Incorporation”), and Third Amended Restated Bylaws (the “Bylaws”) are incorporated by reference into this prospectus supplement. Read the applicable provisions of Delaware law, the Certificate of Incorporation and the Bylaws in their entirety for a complete description of the rights and preferences of the Company’s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Share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T1 Energy’s authorized capital stock consists of (i) 1,000,000,000 shares of common stock, par value $0.01 per share, and (ii) 10,000,000 shares of preferred stock, par value $0.01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Subject to prior dividend rights of the holders of any preferred stock of T1 Energy and any other class or series of shares having a preference as to dividends over common stock, holders of shares of common stock are entitled to receive dividends when, as and if declared by the T1 Energy board of directors, out of funds legally available for that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Each outstanding share of common stock is entitled to one vote per share on each matter to be voted on by the holders of common stock. The holders of common stock are not entitled to cumulative voting of their shares in elections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Rights.</w:t>
      </w:r>
      <w:r>
        <w:rPr>
          <w:rFonts w:ascii="Times New Roman;Times;Serif" w:hAnsi="Times New Roman;Times;Serif"/>
          <w:b w:val="false"/>
          <w:i w:val="false"/>
          <w:caps w:val="false"/>
          <w:smallCaps w:val="false"/>
          <w:sz w:val="20"/>
        </w:rPr>
        <w:t xml:space="preserve"> In the event of any liquidation, dissolution or winding up (either voluntary of involuntary) of T1 Energy, the holders of common stock will be entitled to receive the assets and funds of T1 Energy available for distribution in proportion to the number of shares held by them, respectively, without regard to class, after payments to creditors and subject to any related preferential rights of any holders of any preferred stock of T1 Energy that at the time may be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Energy’s common stock is currently listed on the NYSE under the symbol “TE.”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Ownership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7701(a)(51)(E)(iii) of the Code, an entity that is a publicly traded company or a subsidiary of a publicly traded company is a foreign-influenced entity if, during the taxable year, one or more Specified Foreign Entities (as defined herein) that are each required to report their beneficial ownership under Rule 13d-3 of the Exchange Act own, in the aggregate, not less than 40% of such entity (the “Aggregated Equity Test”).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T1 Energy’s Certificate of Incorporation was amended to establish a restriction of ownership of T1 Energy’s capital stock by Specified Foreign Entities in order to ensure ongoing compliance with the Aggregated Equity Test. Under T1 Energy’s Certificate of Incorporation (as so amended), Specified Foreign Entities are not permitted to hold 4.9% or more of the outstanding shares representing T1 Energy’s common stock or preferred stock, unless permitted by T1 Energy’s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T1 Energy is authorized to effect any and all measures and to make any and all determinations reasonably necessary or desirable (consistent with applicable laws, the Certificate of Incorporation and the Bylaws) to, without limitation:</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the owner(s) of shares of T1 Energy’s common stock or preferred stock to confirm and/or provide evidence that he, she or it is not a Specified Foreign Entity and suspend voting, dividend and other distribution rights with respect to any shares held by such owner(s) until such confirmation and/or evidence is received;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the share transfer records of T1 Energy in such a manner so that the percentage of any class of shares of T1 Energy’s common stock or preferred stock that is owned by Specified Foreign Entities can be determined and confirmed;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 as a condition precedent to the transfer on the records of T1 Energy, representations, citizenship certificates and/or other evidence as to the identity and citizenship status from all transferees (and from any recipient upon original issuance) of any shares and, if such transferee (or recipient) is acting as a fiduciary or nominee for another owner, such other owner, and the registration of transfer (or original issuance) shall be denied upon refusal of such transferee (or recipient) to make such representations and/or furnish such citizenship certificates or other evidence.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transfer of T1 Energy’s common stock or preferred stock that does not comply with the Certificate of Incorporation will be void and ineffective as against T1 Energy.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supplement, “Specified Foreign Entity” or “Specified Foreign Entities” means a specified foreign entity, as defined in Section 7701(a)(51)(B) of the Code and any guidance published thereunder (including, for the avoidance of doubt, any foreign-controlled entity, as defined in Section 7701(a)(51)(C) of the Code and any guidance published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T1 Energy’s governing documents and the Delaware General Corporation Law (the “DGCL”) could have the effect of delaying, deferring or discouraging another party from acquiring T1 Energy. These provisions encourage persons considering unsolicited tender offers or other unilateral takeover proposals to negotiate with the T1 Energy board of directors rather than pursue non-negotiated takeover attempts. These provisions include the below summarized items.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DGCL Section 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will be subject to the provisions of Section 203 of the DGCL (“Section 203”). In general, Section 203 prohibits a publicly held Delaware corporation from engaging in a “business combination” with an “interested stockholder” for a period of three years following the date of the transaction in which such person becomes an interested stockholder, unless: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to such time the board of directors of the corporation approved either the business combination or the transaction which resulted in the stockholder becoming an interested stockholder;</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consummation of the transaction which resulted in the stockholder becoming an interested stockholder, the interested stockholder owned at least 85% of the voting share of the corporation outstanding at the time the transaction commenced, excluding for purposes of determining the voting shares outstanding (but not the outstanding voting shares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or subsequent to such time the business combination is approved by the board of directors and authorized at an annual or special meeting of stockholders, and not by written consent, by the affirmative vote of at least 66 2/3% of the outstanding voting shares which is not owned by the interested stockholder.</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an interested stockholder as any entity or person beneficially owning 15% or more of the outstanding voting shares of T1 Energy and any entity or person affiliated with or controlling or controlled by the entity or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Composition and Powers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Bylaws provide that any director or the entire board of directors may be removed from office at any time, but only by the affirmative vote of the holders of at least a majority in voting power of the issued and outstanding capital stock of T1 Energy entitled to vote in the election of directors. Any director serving on a committee of the board may be removed from such committee at any time by the board of directors. T1 Energy’s board of directors has the power to fix the number of directors by resolution, subject to the requirements of T1 Energy’s governing documents that the T1 Energy board of directors be not fewer than five nor more than 12. Vacancies on the board or any committee resulting from the death, resignation, retirement, disqualification or removal of a director, or from an increase in the number of directors constituting the board or such committee, may be filled only by a majority of the directors then in office, even though less than a quorum, or by a sole remaining director, and the directors chosen in this manner, in the case of the board of directors, will hold office until the next annual election and until a successor is duly elected and qualified, or until his earlier death, resignation, retirement, disqualification or removal and, in the case of any committee of the board, will hold office until a successor is duly appointed by the board of directors or until his earlier death, resignation, retirement, disqualification or removal.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Requirements for Stockholder Proposals and Director Nominations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Bylaws provide that in order for a stockholder to propose business at an annual meeting of stockholders, a stockholder’s notice must be delivered to the secretary at the principal executive offices of T1 Energy no later than the close of business on the 60th day nor earlier than the close of business on the 90th day prior to the first anniversary date of the preceding year’s annual meeting of stockholders; provided, however, that in the event that the annual meeting of stockholders is called for a date that is more than 30 days before or more than 60 days after such anniversary date, notice by the stockholder in order to be timely must be so delivered not earlier than the close of business on the 90th day prior to such annual meeting of stockholders and not later than the close of business on the later of the 60th day prior to such annual meeting of stockholders or, if the first public announcement of the date of such annual meeting of stockholders is less than 100 days prior to the date of such annual meeting of stockholders, the 10th day following the day on which public announcement of the date of such annual meeting of stockholders is first made by T1 Energy.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Bylaws further provide that in order for a stockholder to make a nomination at an annual meeting of stockholders, a stockholder’s notice must be delivered to the secretary at the principal executive offices of T1 Energy (i) in the case of an annual meeting of stockholders, no later than the close of business on the 60th day nor earlier than the close of business on the 90th day prior to the first anniversary date of the preceding year’s annual meeting of stockholders; provided, however, that in the event that the annual meeting of stockholders is called for a date that is more than 30 days before or more than 60 days after such anniversary date, notice by the stockholder in order to be timely must be so delivered not earlier than the close of business on the 90th day prior to such annual meeting of stockholders and not later than the close of business on the later of the 60th day prior to such annual meeting of stockholders or, if the first public announcement of the date of such annual meeting of stockholders is less than 100 days prior to the date of such annual meeting of stockholders, the 10th day following the day on which public announcement of the date of such annual meeting of stockholders is first made by T1 Energy; and (ii) in the case of a special meeting of stockholders called for the purpose of electing directors, not later than the close of business on the 10th day following the day on which notice of the date of the special meeting of stockholders was mailed or public disclosure of the date of the special meeting of stockholders was made, whichever first occurs.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Stockholder Action by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Certificate of Incorporation provides that any action required or permitted to be taken by the stockholders of T1 Energy must be effected at a duly called annual or special meeting of stockholders of T1 Energy, and the ability of the stockholders to consent in writing to the taking of any action is specifically denied.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Meetings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Bylaws provide that special meetings of stockholders, for any purpose or purposes, may be called only by (i) the board of directors, (ii) the chair of the board of directors, if there be one, or (iii) a stockholder, or group of stockholders holding more than 20% of the total voting power of the outstanding shares of the capital stock of T1 Energy issued and outstanding and entitled to vote on the matter for which such special meeting of stockholders is called if such stockholder, or group of stockholders, have dated, signed and delivered to the secretary a written demand for such special meeting of stockholders at least 90 days prior to the proposed date for such special meeting of stockholders, describing each matter of business desired to be brought before the special meeting of stockholders, the reasons for conducting such business, the text of any proposal or business to be considered, and the information required by the notice provisions and of the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Stockholders’ Derivative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share thereafter devolved by operation of law. Unless T1 Energy consents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but Unissued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but unissued shares of T1 Energy common stock and preferred stock will be available for future issuance without any further vote or action T1 Energy stockholders. These additional shares may be utilized for a variety of corporate purposes, including future public offerings to raise additional capital, corporate acquisitions and employee benefit plans. The existence of authorized but unissued shares of T1 Energy common stock and preferred stock could render more difficult or discourage an attempt to obtain control over T1 Energy by means of a proxy contest, tender offer, merger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Supermajority Approval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generally provides that the affirmative vote of a majority of the shares entitled to vote thereon is required to amend a corporation’s certificate of incorporation, unless the corporation’s certificate of incorporation or bylaws requires a greater percentage. The DGCL does not specify a required vote for stockholder to amend a corporation’s bylaws and, therefore, the default voting standard set forth in a corporation’s bylaws will apply to votes to amend the bylaws unless the certificate of incorporation or bylaws provide otherwise. In addition, the DGCL provides that a board of directors may amend the bylaws without further stockholder action if authorized to do so by the corporation’s certificate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Energy’s Certificate of Incorporation provides that the affirmative vote of at least a majority of the entire board of directors or the affirmative vote of holders of at least two thirds of the voting power of the shares entitled to vote at an election of directors will be required to adopt, amend, alter, or repeal the bylaws. In addition, T1 Energy’s Certificate of Incorporation provides that the affirmative vote of the holders of at least two thirds of the voting power of the shares entitled to vote at an election of directors will be required to amend, alter, change or repeal, or to adopt any provision as part of the Certificate of Incorporation inconsistent with the purpose and intent of certain provisions of the Certificate of Incorporation, including those governing the limitation of liability of directors, indemnification of directors and officers, stockholders’ action by written consent, the amendment of T1 Energy’s Bylaws by the board of directors, and the required stockholder vote for the amendment of the foregoing provisions. This requirement of a supermajority vote to approve amendments to our bylaws and certificate of incorporation could enable a minority of our stockholders to exercise veto power over any such amendments.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have the effect of deterring hostile takeovers or delaying or preventing changes in control of T1 Energy or its management, such as a merger, reorganization or tender offer. These provisions are intended to enhance the likelihood of continued stability in the composition of the board of directors and its policies and to discourage certain types of transactions that may involve an actual or threatened acquisition of T1 Energy. These provisions are designed to reduce T1 Energy’s vulnerability to an unsolicited acquisition proposal. The provisions are also intended to discourage certain tactics that may be used in proxy fights. However, such provisions could have the effect of discouraging others from making tender offers for T1 Energy’s shares and, as a consequence, they also may inhibit fluctuations in the market price of common stock that could result from actual or rumored takeover attempts. Such provisions may also have the effect of preventing changes in our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Limitation of Personal Liability of Directors/Officers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to the full extent permitted by the DGCL, will limit or eliminate the liability of T1 Energy directors made a party to any proceeding to T1 Energy or its stockholders for monetary damages for breach of fiduciary duty as a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no such elimination of liability is permitted (i) for any breach of the director’s duty of loyalty to T1 Energy or its stockholders, (ii) for acts or omissions not in good faith or which involve intentional misconduct or a knowing violation of law, (iii) for unlawful payment of dividend or unlawful share purchase or redemption or (iv) for any transaction from which the director derived an improper personal benefit.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Forum Selection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Certificate of Incorporation and Bylaws provide that unless T1 Energy consents in writing to the selection of an alternative forum (an “Alternative Forum Consent”), the Court of Chancery of the State of Delaware will be the sole and exclusive forum for (i) any derivative action or proceeding brought on behalf of T1 Energy, (ii) any action asserting a claim of breach of a duty (including any fiduciary duty) owed by any current or former director, officer, stockholder, employee or agent of T1 Energy to T1 Energy or T1 Energy’s stockholders, (iii) any action asserting a claim against T1 Energy or any current or former director, officer, stockholder, employee or agent of T1 Energy arising out of or relating to any provision of the DGCL, the T1 Energy Certificate of Incorporation or Bylaws (each, as in effect from time to time), or (iv) any action asserting a claim against T1 Energy or any current or former director, officer, stockholder, employee or agent of T1 Energy governed by the internal affairs doctrine of the State of Delaware; provided, however, that, in the event that the Court of Chancery of the State of Delaware lacks subject matter jurisdiction over any such action or proceeding, the sole and exclusive forum for such action or proceeding will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T1 Energy gives an Alternative Forum Consent, the federal district courts of the United States of America will, to the fullest extent permitted by law, be the sole and exclusive forum for the resolution of any complaint asserting a cause of action arising under the Securities Act and the Exchange Act. Any person or entity purchasing, otherwise acquiring or holding any interest in shares of capital stock of T1 Energy will be deemed to have notice of and consented to these forum selection provisions. The existence of any prior Alternative Forum Consent will not act as a waiver of T1 Energy’s ongoing consent right with respect to any current or future actions or claims. Our stockholders will not be deemed to have waived our compliance with the federal securities laws and the rules and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Section 27 of the Exchange Act creates exclusive federal jurisdiction over all claims brought to enforce any duty or liability created by the Exchange Act or the rules and regulations thereunder and T1 Energy’s Bylaws provide that the federal district courts of the United States of America will, to the fullest extent permitted by law, be the sole and exclusive forum for resolving any complaint asserting a cause of action arising under the Exchange Act. Accordingly, actions by our stockholders to enforce any duty or liability created by the Exchange Act or the rules and regulations thereunder must be brought in federal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that the forum selection clause in T1 Energy’s Certificate of Incorporation and Bylaws may impose additional litigation costs on stockholders in pursuing any such claims, particularly if the stockholders do not reside in or near the State of Delaware. Additionally, the forum selection clause in T1 Energy’s Certificate of Incorporation and Bylaws may limit our stockholders’ ability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to our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common stock is Continental Stock Transfer &amp; Trust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r_007"/>
      <w:bookmarkEnd w:id="8"/>
      <w:r>
        <w:rPr>
          <w:rFonts w:ascii="Times New Roman;Times;Serif" w:hAnsi="Times New Roman;Times;Serif"/>
          <w:b/>
          <w:i w:val="false"/>
          <w:caps w:val="false"/>
          <w:smallCaps w:val="false"/>
          <w:sz w:val="20"/>
        </w:rPr>
        <w:t>SELLING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relates to the offer and resale by the Selling Stockholders from time to time of up to 32,258,059 shares of common stock that may be issued to the Selling Stockholders upon conversion of the Convertible Notes, assuming physical settlement will apply to all such conversions and including the maximum number of make-whole shares that may be issued pursuant to the terms of the Convertible Notes. When we refer to the “Selling Stockholders” in this prospectus supplement, we mean the person(s) listed in the table below (as such table may be amended from time to time by means of a prospectus supplement or a post-effective amendment to the registration statement of which this prospectus supplement forms a part), and any pledgees, donees, transferees, assignees, successors, designees and other permitted transferees who later come to hold any of the Selling Stockholders’ interest in the common stock set forth below other than through a public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offer and sell pursuant to this prospectus supplement any or all of the shares of common stock issued to them upon conversion of the Convertible Notes. The table below sets forth the number of shares of common stock that the Selling Stockholders may offer and sell pursuant to this prospectus supplement, which includes the maximum number of shares of common stock issuable upon conversion of the Convertible Notes held by each Selling Stockholders, as well as such Selling Stockholder’s beneficial ownership of our common stock prior to and following the sale of the Conversion Shares covered by this prospectus supplement (assuming all such Conversion Shares are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below is based primarily on information provided by or on behalf of the Selling Stockholders prior to the date hereof, including such Selling Stockholder’s beneficial ownership of our common stock. From and after the date on which such information was provided, a Selling Stockholder may have sold, transferred or otherwise disposed of, and may in the future sell, transfer or otherwise dispose of, some or all of the common stock indicated below in transactions exempt from the registration requirements of the Securities Act rather than under this prospectus supplement. In addition, because no Selling Stockholder is obligated to sell the Conversion Shares offered hereby, we cannot advise you as to whether or when a Selling Stockholder will in fact sell any or all of such common stock, or the amount of shares, if any, a Selling Stockholder will beneficially own upon consummation of any such sale. For purposes of the table below, we have assumed that the Selling Stockholders will not acquire beneficial ownership of any additional securities of ours during the offering and will have sold all of the Conversion Shares covered by this prospectus supplement upon the completion of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beneficial ownership in accordance with the rules of the SEC and the information is not necessarily indicative of beneficial ownership for any other purpose. Unless otherwise indicated below, to our knowledge, the persons and entities named in the table and accompanying footnotes have or will have sole voting and sole investment power with respect to all securities of ours that they beneficially own, subject to community property laws where applicable. Except as otherwise described below, based on the information provided to us by the Selling Stockholders, no Selling Stockholder is a broker-dealer or an affiliate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for each additional Selling Stockholder, if any, will be set forth by this prospectus supplement to the extent required prior to the time of any offer or sale by such Selling Stockholder of the Conversion Shares pursuant to this prospectus supplement. Any prospectus supplement may add, update, substitute or change the information contained in this prospectus supplement, including the identity of a Selling Stockholder and the number of shares registered on its, his, her or their behalf. A Selling Stockholder may sell or otherwise transfer all, some or none of such shares in this offering. See “Plan of Distribution.”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13"/>
        <w:gridCol w:w="60"/>
        <w:gridCol w:w="179"/>
        <w:gridCol w:w="2041"/>
        <w:gridCol w:w="60"/>
        <w:gridCol w:w="60"/>
        <w:gridCol w:w="101"/>
        <w:gridCol w:w="1679"/>
        <w:gridCol w:w="60"/>
        <w:gridCol w:w="60"/>
        <w:gridCol w:w="220"/>
        <w:gridCol w:w="1447"/>
        <w:gridCol w:w="127"/>
        <w:gridCol w:w="127"/>
        <w:gridCol w:w="357"/>
        <w:gridCol w:w="635"/>
        <w:gridCol w:w="79"/>
      </w:tblGrid>
      <w:tr>
        <w:trPr/>
        <w:tc>
          <w:tcPr>
            <w:tcW w:w="29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0" w:type="dxa"/>
            <w:gridSpan w:val="2"/>
            <w:tcBorders/>
            <w:vAlign w:val="center"/>
          </w:tcPr>
          <w:p>
            <w:pPr>
              <w:pStyle w:val="TableContents"/>
              <w:bidi w:val="0"/>
              <w:spacing w:before="0" w:after="283"/>
              <w:jc w:val="center"/>
              <w:rPr>
                <w:b/>
              </w:rPr>
            </w:pPr>
            <w:r>
              <w:rPr>
                <w:b/>
              </w:rPr>
              <w:t>Number of Shares of Common Stock Beneficially Owned</w:t>
              <w:br/>
              <w:t>Prior to the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2"/>
            <w:tcBorders/>
            <w:vAlign w:val="center"/>
          </w:tcPr>
          <w:p>
            <w:pPr>
              <w:pStyle w:val="TableContents"/>
              <w:bidi w:val="0"/>
              <w:spacing w:before="0" w:after="283"/>
              <w:jc w:val="center"/>
              <w:rPr>
                <w:b/>
              </w:rPr>
            </w:pPr>
            <w:r>
              <w:rPr>
                <w:b/>
              </w:rPr>
              <w:t>Maximum Number of Shares of Common</w:t>
              <w:br/>
              <w:t>Stock Offered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 Beneficially Owned After Completion of this Offering</w:t>
            </w:r>
          </w:p>
        </w:tc>
        <w:tc>
          <w:tcPr>
            <w:tcW w:w="79" w:type="dxa"/>
            <w:tcBorders/>
            <w:vAlign w:val="center"/>
          </w:tcPr>
          <w:p>
            <w:pPr>
              <w:pStyle w:val="TableContents"/>
              <w:bidi w:val="0"/>
              <w:spacing w:before="0" w:after="283"/>
              <w:jc w:val="left"/>
              <w:rPr/>
            </w:pPr>
            <w:r>
              <w:rPr/>
              <w:t> </w:t>
            </w:r>
          </w:p>
        </w:tc>
      </w:tr>
      <w:tr>
        <w:trPr/>
        <w:tc>
          <w:tcPr>
            <w:tcW w:w="2913" w:type="dxa"/>
            <w:tcBorders>
              <w:bottom w:val="single" w:sz="12" w:space="0" w:color="000000"/>
            </w:tcBorders>
            <w:tcMar>
              <w:bottom w:w="28" w:type="dxa"/>
            </w:tcMar>
            <w:vAlign w:val="center"/>
          </w:tcPr>
          <w:p>
            <w:pPr>
              <w:pStyle w:val="TableContents"/>
              <w:bidi w:val="0"/>
              <w:spacing w:before="0" w:after="283"/>
              <w:jc w:val="left"/>
              <w:rPr>
                <w:b/>
              </w:rPr>
            </w:pPr>
            <w:r>
              <w:rPr>
                <w:b/>
              </w:rPr>
              <w:t>Name of Selling Stockholder</w:t>
            </w:r>
          </w:p>
        </w:tc>
        <w:tc>
          <w:tcPr>
            <w:tcW w:w="60" w:type="dxa"/>
            <w:tcBorders/>
            <w:vAlign w:val="center"/>
          </w:tcPr>
          <w:p>
            <w:pPr>
              <w:pStyle w:val="TableContents"/>
              <w:bidi w:val="0"/>
              <w:spacing w:before="0" w:after="283"/>
              <w:jc w:val="left"/>
              <w:rPr/>
            </w:pPr>
            <w:r>
              <w:rPr/>
              <w:t> </w:t>
            </w:r>
          </w:p>
        </w:tc>
        <w:tc>
          <w:tcPr>
            <w:tcW w:w="2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w:t>
            </w:r>
            <w:r>
              <w:rPr>
                <w:rFonts w:ascii="Times New Roman;Times;Serif" w:hAnsi="Times New Roman;Times;Serif"/>
                <w:b/>
                <w:i w:val="false"/>
                <w:caps w:val="false"/>
                <w:smallCaps w:val="false"/>
                <w:position w:val="7"/>
                <w:sz w:val="16"/>
                <w:sz w:val="20"/>
              </w:rPr>
              <w:t>(1)</w:t>
            </w:r>
          </w:p>
        </w:tc>
        <w:tc>
          <w:tcPr>
            <w:tcW w:w="79" w:type="dxa"/>
            <w:tcBorders/>
            <w:vAlign w:val="center"/>
          </w:tcPr>
          <w:p>
            <w:pPr>
              <w:pStyle w:val="TableContents"/>
              <w:bidi w:val="0"/>
              <w:spacing w:before="0" w:after="283"/>
              <w:jc w:val="left"/>
              <w:rPr/>
            </w:pPr>
            <w:r>
              <w:rPr/>
              <w:t> </w:t>
            </w:r>
          </w:p>
        </w:tc>
      </w:tr>
      <w:tr>
        <w:trPr/>
        <w:tc>
          <w:tcPr>
            <w:tcW w:w="2913" w:type="dxa"/>
            <w:tcBorders/>
            <w:shd w:fill="CCEEFF" w:val="clear"/>
            <w:vAlign w:val="center"/>
          </w:tcPr>
          <w:p>
            <w:pPr>
              <w:pStyle w:val="TableContents"/>
              <w:bidi w:val="0"/>
              <w:spacing w:before="0" w:after="283"/>
              <w:jc w:val="left"/>
              <w:rPr/>
            </w:pPr>
            <w:r>
              <w:rPr/>
              <w:t>Adage Capital Partners, L.P.</w:t>
            </w:r>
            <w:r>
              <w:rPr>
                <w:position w:val="8"/>
                <w:sz w:val="19"/>
              </w:rPr>
              <w:t>(2)</w:t>
            </w:r>
            <w:r>
              <w:rPr/>
              <w:tab/>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20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679" w:type="dxa"/>
            <w:tcBorders/>
            <w:shd w:fill="CCEEFF" w:val="clear"/>
            <w:vAlign w:val="center"/>
          </w:tcPr>
          <w:p>
            <w:pPr>
              <w:pStyle w:val="TableContents"/>
              <w:bidi w:val="0"/>
              <w:spacing w:before="0" w:after="283"/>
              <w:jc w:val="right"/>
              <w:rPr/>
            </w:pPr>
            <w:r>
              <w:rPr/>
              <w:t>4,032,258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2913" w:type="dxa"/>
            <w:tcBorders/>
            <w:shd w:fill="FFFFFF" w:val="clear"/>
            <w:vAlign w:val="center"/>
          </w:tcPr>
          <w:p>
            <w:pPr>
              <w:pStyle w:val="TableContents"/>
              <w:bidi w:val="0"/>
              <w:spacing w:before="0" w:after="283"/>
              <w:jc w:val="left"/>
              <w:rPr/>
            </w:pPr>
            <w:r>
              <w:rPr/>
              <w:t>Citadel Multi-Asset Master Fund Ltd.</w:t>
            </w:r>
            <w:r>
              <w:rPr>
                <w:position w:val="8"/>
                <w:sz w:val="19"/>
              </w:rPr>
              <w:t>(3)</w:t>
            </w:r>
            <w:r>
              <w:rPr/>
              <w:tab/>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679" w:type="dxa"/>
            <w:tcBorders/>
            <w:shd w:fill="FFFFFF" w:val="clear"/>
            <w:vAlign w:val="center"/>
          </w:tcPr>
          <w:p>
            <w:pPr>
              <w:pStyle w:val="TableContents"/>
              <w:bidi w:val="0"/>
              <w:spacing w:before="0" w:after="283"/>
              <w:jc w:val="right"/>
              <w:rPr/>
            </w:pPr>
            <w:r>
              <w:rPr/>
              <w:t>5,376,344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2913" w:type="dxa"/>
            <w:tcBorders/>
            <w:shd w:fill="CCEEFF" w:val="clear"/>
            <w:vAlign w:val="center"/>
          </w:tcPr>
          <w:p>
            <w:pPr>
              <w:pStyle w:val="TableContents"/>
              <w:bidi w:val="0"/>
              <w:spacing w:before="0" w:after="283"/>
              <w:jc w:val="left"/>
              <w:rPr/>
            </w:pPr>
            <w:r>
              <w:rPr/>
              <w:t>Context Partners Master Fund, L.P.</w:t>
            </w:r>
            <w:r>
              <w:rPr>
                <w:position w:val="8"/>
                <w:sz w:val="19"/>
              </w:rPr>
              <w:t>(4)</w:t>
            </w:r>
            <w:r>
              <w:rPr/>
              <w:tab/>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20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679" w:type="dxa"/>
            <w:tcBorders/>
            <w:shd w:fill="CCEEFF" w:val="clear"/>
            <w:vAlign w:val="center"/>
          </w:tcPr>
          <w:p>
            <w:pPr>
              <w:pStyle w:val="TableContents"/>
              <w:bidi w:val="0"/>
              <w:spacing w:before="0" w:after="283"/>
              <w:jc w:val="right"/>
              <w:rPr/>
            </w:pPr>
            <w:r>
              <w:rPr/>
              <w:t>8,064,516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2913" w:type="dxa"/>
            <w:tcBorders/>
            <w:shd w:fill="FFFFFF" w:val="clear"/>
            <w:vAlign w:val="center"/>
          </w:tcPr>
          <w:p>
            <w:pPr>
              <w:pStyle w:val="TableContents"/>
              <w:bidi w:val="0"/>
              <w:spacing w:before="0" w:after="283"/>
              <w:jc w:val="left"/>
              <w:rPr/>
            </w:pPr>
            <w:r>
              <w:rPr/>
              <w:t>D.E. Shaw Valence Portfolios, L.L.C.</w:t>
            </w:r>
            <w:r>
              <w:rPr>
                <w:position w:val="8"/>
                <w:sz w:val="19"/>
              </w:rPr>
              <w:t>(5)</w:t>
            </w:r>
            <w:r>
              <w:rPr/>
              <w:tab/>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right"/>
              <w:rPr/>
            </w:pPr>
            <w:r>
              <w:rPr/>
              <w:t>30,808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679" w:type="dxa"/>
            <w:tcBorders/>
            <w:shd w:fill="FFFFFF" w:val="clear"/>
            <w:vAlign w:val="center"/>
          </w:tcPr>
          <w:p>
            <w:pPr>
              <w:pStyle w:val="TableContents"/>
              <w:bidi w:val="0"/>
              <w:spacing w:before="0" w:after="283"/>
              <w:jc w:val="right"/>
              <w:rPr/>
            </w:pPr>
            <w:r>
              <w:rPr/>
              <w:t>6,395,161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30,808</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2913" w:type="dxa"/>
            <w:tcBorders/>
            <w:shd w:fill="CCEEFF" w:val="clear"/>
            <w:vAlign w:val="center"/>
          </w:tcPr>
          <w:p>
            <w:pPr>
              <w:pStyle w:val="TableContents"/>
              <w:bidi w:val="0"/>
              <w:spacing w:before="0" w:after="283"/>
              <w:jc w:val="left"/>
              <w:rPr/>
            </w:pPr>
            <w:r>
              <w:rPr/>
              <w:t>D.E. Shaw Cogence Portfolios, L.L.C.</w:t>
            </w:r>
            <w:r>
              <w:rPr>
                <w:position w:val="8"/>
                <w:sz w:val="19"/>
              </w:rPr>
              <w:t>(6)</w:t>
            </w:r>
            <w:r>
              <w:rPr/>
              <w:tab/>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20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679" w:type="dxa"/>
            <w:tcBorders/>
            <w:shd w:fill="CCEEFF" w:val="clear"/>
            <w:vAlign w:val="center"/>
          </w:tcPr>
          <w:p>
            <w:pPr>
              <w:pStyle w:val="TableContents"/>
              <w:bidi w:val="0"/>
              <w:spacing w:before="0" w:after="283"/>
              <w:jc w:val="right"/>
              <w:rPr/>
            </w:pPr>
            <w:r>
              <w:rPr/>
              <w:t>594,086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2913" w:type="dxa"/>
            <w:tcBorders/>
            <w:shd w:fill="FFFFFF" w:val="clear"/>
            <w:vAlign w:val="center"/>
          </w:tcPr>
          <w:p>
            <w:pPr>
              <w:pStyle w:val="TableContents"/>
              <w:bidi w:val="0"/>
              <w:spacing w:before="0" w:after="283"/>
              <w:jc w:val="left"/>
              <w:rPr/>
            </w:pPr>
            <w:r>
              <w:rPr/>
              <w:t>Franklin K2 Alternative Strategies Fund</w:t>
            </w:r>
            <w:r>
              <w:rPr>
                <w:position w:val="8"/>
                <w:sz w:val="19"/>
              </w:rPr>
              <w:t>(7)</w:t>
            </w:r>
            <w:r>
              <w:rPr/>
              <w:tab/>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679" w:type="dxa"/>
            <w:tcBorders/>
            <w:shd w:fill="FFFFFF" w:val="clear"/>
            <w:vAlign w:val="center"/>
          </w:tcPr>
          <w:p>
            <w:pPr>
              <w:pStyle w:val="TableContents"/>
              <w:bidi w:val="0"/>
              <w:spacing w:before="0" w:after="283"/>
              <w:jc w:val="right"/>
              <w:rPr/>
            </w:pPr>
            <w:r>
              <w:rPr/>
              <w:t>16,935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2913" w:type="dxa"/>
            <w:tcBorders/>
            <w:shd w:fill="CCEEFF" w:val="clear"/>
            <w:vAlign w:val="center"/>
          </w:tcPr>
          <w:p>
            <w:pPr>
              <w:pStyle w:val="TableContents"/>
              <w:bidi w:val="0"/>
              <w:spacing w:before="0" w:after="283"/>
              <w:jc w:val="left"/>
              <w:rPr/>
            </w:pPr>
            <w:r>
              <w:rPr/>
              <w:t>Franklin Templeton Investment Funds – Franklin K2 Alternative Strategies Fund</w:t>
            </w:r>
            <w:r>
              <w:rPr>
                <w:position w:val="8"/>
                <w:sz w:val="19"/>
              </w:rPr>
              <w:t xml:space="preserve">(7) </w:t>
            </w:r>
            <w:r>
              <w:rPr/>
              <w:tab/>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20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679" w:type="dxa"/>
            <w:tcBorders/>
            <w:shd w:fill="CCEEFF" w:val="clear"/>
            <w:vAlign w:val="center"/>
          </w:tcPr>
          <w:p>
            <w:pPr>
              <w:pStyle w:val="TableContents"/>
              <w:bidi w:val="0"/>
              <w:spacing w:before="0" w:after="283"/>
              <w:jc w:val="right"/>
              <w:rPr/>
            </w:pPr>
            <w:r>
              <w:rPr/>
              <w:t>13,978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2913" w:type="dxa"/>
            <w:tcBorders/>
            <w:shd w:fill="FFFFFF" w:val="clear"/>
            <w:vAlign w:val="center"/>
          </w:tcPr>
          <w:p>
            <w:pPr>
              <w:pStyle w:val="TableContents"/>
              <w:bidi w:val="0"/>
              <w:spacing w:before="0" w:after="283"/>
              <w:jc w:val="left"/>
              <w:rPr/>
            </w:pPr>
            <w:r>
              <w:rPr/>
              <w:t>JNL Multi-Manager Alternative Fund, a sub fund of JNL Series Trust</w:t>
            </w:r>
            <w:r>
              <w:rPr>
                <w:position w:val="8"/>
                <w:sz w:val="19"/>
              </w:rPr>
              <w:t>(7)</w:t>
            </w:r>
            <w:r>
              <w:rPr/>
              <w:tab/>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679" w:type="dxa"/>
            <w:tcBorders/>
            <w:shd w:fill="FFFFFF" w:val="clear"/>
            <w:vAlign w:val="center"/>
          </w:tcPr>
          <w:p>
            <w:pPr>
              <w:pStyle w:val="TableContents"/>
              <w:bidi w:val="0"/>
              <w:spacing w:before="0" w:after="283"/>
              <w:jc w:val="right"/>
              <w:rPr/>
            </w:pPr>
            <w:r>
              <w:rPr/>
              <w:t>54,032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2913" w:type="dxa"/>
            <w:tcBorders/>
            <w:shd w:fill="CCEEFF" w:val="clear"/>
            <w:vAlign w:val="center"/>
          </w:tcPr>
          <w:p>
            <w:pPr>
              <w:pStyle w:val="TableContents"/>
              <w:bidi w:val="0"/>
              <w:spacing w:before="0" w:after="283"/>
              <w:jc w:val="left"/>
              <w:rPr/>
            </w:pPr>
            <w:r>
              <w:rPr/>
              <w:t>Lazard Converts Absolute Return, LP (LCAE)</w:t>
            </w:r>
            <w:r>
              <w:rPr>
                <w:position w:val="8"/>
                <w:sz w:val="19"/>
              </w:rPr>
              <w:t>(7)</w:t>
            </w:r>
            <w:r>
              <w:rPr/>
              <w:tab/>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20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679" w:type="dxa"/>
            <w:tcBorders/>
            <w:shd w:fill="CCEEFF" w:val="clear"/>
            <w:vAlign w:val="center"/>
          </w:tcPr>
          <w:p>
            <w:pPr>
              <w:pStyle w:val="TableContents"/>
              <w:bidi w:val="0"/>
              <w:spacing w:before="0" w:after="283"/>
              <w:jc w:val="right"/>
              <w:rPr/>
            </w:pPr>
            <w:r>
              <w:rPr/>
              <w:t>69,086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2913" w:type="dxa"/>
            <w:tcBorders/>
            <w:shd w:fill="FFFFFF" w:val="clear"/>
            <w:vAlign w:val="center"/>
          </w:tcPr>
          <w:p>
            <w:pPr>
              <w:pStyle w:val="TableContents"/>
              <w:bidi w:val="0"/>
              <w:spacing w:before="0" w:after="283"/>
              <w:jc w:val="left"/>
              <w:rPr/>
            </w:pPr>
            <w:r>
              <w:rPr/>
              <w:t>Lazard Converts Absolute Return, LP (LCAR)</w:t>
            </w:r>
            <w:r>
              <w:rPr>
                <w:position w:val="8"/>
                <w:sz w:val="19"/>
              </w:rPr>
              <w:t>(7)</w:t>
            </w:r>
            <w:r>
              <w:rPr/>
              <w:tab/>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679" w:type="dxa"/>
            <w:tcBorders/>
            <w:shd w:fill="FFFFFF" w:val="clear"/>
            <w:vAlign w:val="center"/>
          </w:tcPr>
          <w:p>
            <w:pPr>
              <w:pStyle w:val="TableContents"/>
              <w:bidi w:val="0"/>
              <w:spacing w:before="0" w:after="283"/>
              <w:jc w:val="right"/>
              <w:rPr/>
            </w:pPr>
            <w:r>
              <w:rPr/>
              <w:t>103,763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2913" w:type="dxa"/>
            <w:tcBorders/>
            <w:shd w:fill="CCEEFF" w:val="clear"/>
            <w:vAlign w:val="center"/>
          </w:tcPr>
          <w:p>
            <w:pPr>
              <w:pStyle w:val="TableContents"/>
              <w:bidi w:val="0"/>
              <w:spacing w:before="0" w:after="283"/>
              <w:jc w:val="left"/>
              <w:rPr/>
            </w:pPr>
            <w:r>
              <w:rPr/>
              <w:t>Lazard Enhanced Opportunities Portfolio</w:t>
            </w:r>
            <w:r>
              <w:rPr>
                <w:position w:val="8"/>
                <w:sz w:val="19"/>
              </w:rPr>
              <w:t>(7)</w:t>
            </w:r>
            <w:r>
              <w:rPr/>
              <w:tab/>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20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679" w:type="dxa"/>
            <w:tcBorders/>
            <w:shd w:fill="CCEEFF" w:val="clear"/>
            <w:vAlign w:val="center"/>
          </w:tcPr>
          <w:p>
            <w:pPr>
              <w:pStyle w:val="TableContents"/>
              <w:bidi w:val="0"/>
              <w:spacing w:before="0" w:after="283"/>
              <w:jc w:val="right"/>
              <w:rPr/>
            </w:pPr>
            <w:r>
              <w:rPr/>
              <w:t>26,075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2913" w:type="dxa"/>
            <w:tcBorders/>
            <w:shd w:fill="FFFFFF" w:val="clear"/>
            <w:vAlign w:val="center"/>
          </w:tcPr>
          <w:p>
            <w:pPr>
              <w:pStyle w:val="TableContents"/>
              <w:bidi w:val="0"/>
              <w:spacing w:before="0" w:after="283"/>
              <w:jc w:val="left"/>
              <w:rPr/>
            </w:pPr>
            <w:r>
              <w:rPr/>
              <w:t>Lazard Rathmore Absolute Return Fund, Ltd.</w:t>
            </w:r>
            <w:r>
              <w:rPr>
                <w:position w:val="8"/>
                <w:sz w:val="19"/>
              </w:rPr>
              <w:t>(7)</w:t>
            </w:r>
            <w:r>
              <w:rPr/>
              <w:tab/>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679" w:type="dxa"/>
            <w:tcBorders/>
            <w:shd w:fill="FFFFFF" w:val="clear"/>
            <w:vAlign w:val="center"/>
          </w:tcPr>
          <w:p>
            <w:pPr>
              <w:pStyle w:val="TableContents"/>
              <w:bidi w:val="0"/>
              <w:spacing w:before="0" w:after="283"/>
              <w:jc w:val="right"/>
              <w:rPr/>
            </w:pPr>
            <w:r>
              <w:rPr/>
              <w:t>3,494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2913" w:type="dxa"/>
            <w:tcBorders/>
            <w:shd w:fill="CCEEFF" w:val="clear"/>
            <w:vAlign w:val="center"/>
          </w:tcPr>
          <w:p>
            <w:pPr>
              <w:pStyle w:val="TableContents"/>
              <w:bidi w:val="0"/>
              <w:spacing w:before="0" w:after="283"/>
              <w:jc w:val="left"/>
              <w:rPr/>
            </w:pPr>
            <w:r>
              <w:rPr/>
              <w:t>Lazard Rathmore Alternative Fund</w:t>
            </w:r>
            <w:r>
              <w:rPr>
                <w:position w:val="8"/>
                <w:sz w:val="19"/>
              </w:rPr>
              <w:t>(7)</w:t>
            </w:r>
            <w:r>
              <w:rPr/>
              <w:tab/>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20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679" w:type="dxa"/>
            <w:tcBorders/>
            <w:shd w:fill="CCEEFF" w:val="clear"/>
            <w:vAlign w:val="center"/>
          </w:tcPr>
          <w:p>
            <w:pPr>
              <w:pStyle w:val="TableContents"/>
              <w:bidi w:val="0"/>
              <w:spacing w:before="0" w:after="283"/>
              <w:jc w:val="right"/>
              <w:rPr/>
            </w:pPr>
            <w:r>
              <w:rPr/>
              <w:t>805,107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2913" w:type="dxa"/>
            <w:tcBorders/>
            <w:shd w:fill="FFFFFF" w:val="clear"/>
            <w:vAlign w:val="center"/>
          </w:tcPr>
          <w:p>
            <w:pPr>
              <w:pStyle w:val="TableContents"/>
              <w:bidi w:val="0"/>
              <w:spacing w:before="0" w:after="283"/>
              <w:jc w:val="left"/>
              <w:rPr/>
            </w:pPr>
            <w:r>
              <w:rPr/>
              <w:t>Lazard Rathmore Converts, LP</w:t>
            </w:r>
            <w:r>
              <w:rPr>
                <w:position w:val="8"/>
                <w:sz w:val="19"/>
              </w:rPr>
              <w:t>(7)</w:t>
            </w:r>
            <w:r>
              <w:rPr/>
              <w:tab/>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679" w:type="dxa"/>
            <w:tcBorders/>
            <w:shd w:fill="FFFFFF" w:val="clear"/>
            <w:vAlign w:val="center"/>
          </w:tcPr>
          <w:p>
            <w:pPr>
              <w:pStyle w:val="TableContents"/>
              <w:bidi w:val="0"/>
              <w:spacing w:before="0" w:after="283"/>
              <w:jc w:val="right"/>
              <w:rPr/>
            </w:pPr>
            <w:r>
              <w:rPr/>
              <w:t>42,473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2913" w:type="dxa"/>
            <w:tcBorders/>
            <w:shd w:fill="CCEEFF" w:val="clear"/>
            <w:vAlign w:val="center"/>
          </w:tcPr>
          <w:p>
            <w:pPr>
              <w:pStyle w:val="TableContents"/>
              <w:bidi w:val="0"/>
              <w:spacing w:before="0" w:after="283"/>
              <w:jc w:val="left"/>
              <w:rPr/>
            </w:pPr>
            <w:r>
              <w:rPr/>
              <w:t>Lazard Rathmore Plus Master Fund, L.P.</w:t>
            </w:r>
            <w:r>
              <w:rPr>
                <w:position w:val="8"/>
                <w:sz w:val="19"/>
              </w:rPr>
              <w:t>(7)</w:t>
            </w:r>
            <w:r>
              <w:rPr/>
              <w:tab/>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20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679" w:type="dxa"/>
            <w:tcBorders/>
            <w:shd w:fill="CCEEFF" w:val="clear"/>
            <w:vAlign w:val="center"/>
          </w:tcPr>
          <w:p>
            <w:pPr>
              <w:pStyle w:val="TableContents"/>
              <w:bidi w:val="0"/>
              <w:spacing w:before="0" w:after="283"/>
              <w:jc w:val="right"/>
              <w:rPr/>
            </w:pPr>
            <w:r>
              <w:rPr/>
              <w:t>190,322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2913" w:type="dxa"/>
            <w:tcBorders/>
            <w:shd w:fill="FFFFFF" w:val="clear"/>
            <w:vAlign w:val="center"/>
          </w:tcPr>
          <w:p>
            <w:pPr>
              <w:pStyle w:val="TableContents"/>
              <w:bidi w:val="0"/>
              <w:spacing w:before="0" w:after="283"/>
              <w:jc w:val="left"/>
              <w:rPr/>
            </w:pPr>
            <w:r>
              <w:rPr/>
              <w:t>Linden Advisors LP</w:t>
            </w:r>
            <w:r>
              <w:rPr>
                <w:position w:val="8"/>
                <w:sz w:val="19"/>
              </w:rPr>
              <w:t>(8)</w:t>
            </w:r>
            <w:r>
              <w:rPr/>
              <w:tab/>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679" w:type="dxa"/>
            <w:tcBorders/>
            <w:shd w:fill="FFFFFF" w:val="clear"/>
            <w:vAlign w:val="center"/>
          </w:tcPr>
          <w:p>
            <w:pPr>
              <w:pStyle w:val="TableContents"/>
              <w:bidi w:val="0"/>
              <w:spacing w:before="0" w:after="283"/>
              <w:jc w:val="right"/>
              <w:rPr/>
            </w:pPr>
            <w:r>
              <w:rPr/>
              <w:t>4,435,483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2913" w:type="dxa"/>
            <w:tcBorders/>
            <w:shd w:fill="CCEEFF" w:val="clear"/>
            <w:vAlign w:val="center"/>
          </w:tcPr>
          <w:p>
            <w:pPr>
              <w:pStyle w:val="TableContents"/>
              <w:bidi w:val="0"/>
              <w:spacing w:before="0" w:after="283"/>
              <w:jc w:val="left"/>
              <w:rPr/>
            </w:pPr>
            <w:r>
              <w:rPr/>
              <w:t>PACE Select Advisors Trust - PACE Alternative Strategies Investments</w:t>
            </w:r>
            <w:r>
              <w:rPr>
                <w:position w:val="8"/>
                <w:sz w:val="19"/>
              </w:rPr>
              <w:t>(7)</w:t>
            </w:r>
            <w:r>
              <w:rPr/>
              <w:tab/>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20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679" w:type="dxa"/>
            <w:tcBorders/>
            <w:shd w:fill="CCEEFF" w:val="clear"/>
            <w:vAlign w:val="center"/>
          </w:tcPr>
          <w:p>
            <w:pPr>
              <w:pStyle w:val="TableContents"/>
              <w:bidi w:val="0"/>
              <w:spacing w:before="0" w:after="283"/>
              <w:jc w:val="right"/>
              <w:rPr/>
            </w:pPr>
            <w:r>
              <w:rPr/>
              <w:t>18,817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2913" w:type="dxa"/>
            <w:tcBorders/>
            <w:shd w:fill="FFFFFF" w:val="clear"/>
            <w:vAlign w:val="center"/>
          </w:tcPr>
          <w:p>
            <w:pPr>
              <w:pStyle w:val="TableContents"/>
              <w:bidi w:val="0"/>
              <w:spacing w:before="0" w:after="283"/>
              <w:jc w:val="left"/>
              <w:rPr/>
            </w:pPr>
            <w:r>
              <w:rPr/>
              <w:t>Two Sigma Horizon Portfolio, LLC</w:t>
            </w:r>
            <w:r>
              <w:rPr>
                <w:position w:val="8"/>
                <w:sz w:val="19"/>
              </w:rPr>
              <w:t>(9)</w:t>
            </w:r>
            <w:r>
              <w:rPr/>
              <w:tab/>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679" w:type="dxa"/>
            <w:tcBorders/>
            <w:shd w:fill="FFFFFF" w:val="clear"/>
            <w:vAlign w:val="center"/>
          </w:tcPr>
          <w:p>
            <w:pPr>
              <w:pStyle w:val="TableContents"/>
              <w:bidi w:val="0"/>
              <w:spacing w:before="0" w:after="283"/>
              <w:jc w:val="right"/>
              <w:rPr/>
            </w:pPr>
            <w:r>
              <w:rPr/>
              <w:t>2,016,129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S-11</w:t>
      </w:r>
    </w:p>
    <w:p>
      <w:pPr>
        <w:pStyle w:val="TextBody"/>
        <w:bidi w:val="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(1)</w:t>
            </w:r>
          </w:p>
        </w:tc>
        <w:tc>
          <w:tcPr>
            <w:tcW w:w="9905" w:type="dxa"/>
            <w:tcBorders/>
            <w:vAlign w:val="center"/>
          </w:tcPr>
          <w:p>
            <w:pPr>
              <w:pStyle w:val="TableContents"/>
              <w:bidi w:val="0"/>
              <w:spacing w:before="0" w:after="283"/>
              <w:jc w:val="both"/>
              <w:rPr/>
            </w:pPr>
            <w:r>
              <w:rPr/>
              <w:t>The percentage of beneficial ownership after this offering is calculated based on 294,476,525 shares of common stock outstanding as of August 27, 2026.</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(2)</w:t>
            </w:r>
          </w:p>
        </w:tc>
        <w:tc>
          <w:tcPr>
            <w:tcW w:w="9944" w:type="dxa"/>
            <w:tcBorders/>
            <w:vAlign w:val="center"/>
          </w:tcPr>
          <w:p>
            <w:pPr>
              <w:pStyle w:val="TableContents"/>
              <w:bidi w:val="0"/>
              <w:spacing w:before="0" w:after="283"/>
              <w:jc w:val="both"/>
              <w:rPr/>
            </w:pPr>
            <w:r>
              <w:rPr/>
              <w:t>These securities are beneficially held by Adage Capital Partners, L.P. whose address is 200 Clarendon Street, 52nd Floor, Boston, MA 02116. Bob Atchinson and Phillip Gross are the managing members of Adage Capital Advisors, L.L.C., which is the managing member of Adage Capital Partners GP, L.L.C., which is the general partner of Adage, and each such person or entity, as the case may be, has shared voting and/or investment power over the securities held by Adage Capital Partners, L.P., and may be deemed the beneficial owner of such shares, and each such person or entity, as the case may be, disclaims beneficial ownership of such securities except to the extent of their respective pecuniary interest therein.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283"/>
              <w:jc w:val="both"/>
              <w:rPr/>
            </w:pPr>
            <w:r>
              <w:rPr/>
              <w:t>Citadel Advisors LLC is the portfolio manager of Citadel Multi-Asset Master Fund Ltd. Citadel Advisors Holdings LP is the sole member of Citadel Advisors LLC. Citadel GP LLC is the General Partner of Citadel Advisors Holdings LP. Kenneth Griffin owns a controlling interest in Citadel GP LLC. Mr. Griffin, as the owner of a controlling interest in Citadel GP LLC, may be deemed to have shared power to vote and/or shared power to dispose of the securities held by Citadel Multi-Asset Master Fund Ltd. This disclosure shall not be construed as an admission that Mr. Griffin or any of the Citadel related entities listed above is the beneficial owner of any securities of the Company other than the securities actually owned by such person (if any). The business address of Citadel Multi-Asset Master Fund Ltd. is 830 Brickell Plaza, Miami, Florida 33131.</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(4)</w:t>
            </w:r>
          </w:p>
        </w:tc>
        <w:tc>
          <w:tcPr>
            <w:tcW w:w="9930" w:type="dxa"/>
            <w:tcBorders/>
            <w:vAlign w:val="center"/>
          </w:tcPr>
          <w:p>
            <w:pPr>
              <w:pStyle w:val="TableContents"/>
              <w:bidi w:val="0"/>
              <w:spacing w:before="0" w:after="283"/>
              <w:jc w:val="both"/>
              <w:rPr/>
            </w:pPr>
            <w:r>
              <w:rPr/>
              <w:t>These securities are beneficially held by Context Partners Master Fund, L.P. whose address is 7724 Girard Ave, Ste 300, La Jolla, CA 92307. Charles E. Carnegie is the ultimate beneficial owner of and has voting and investment control over securities beneficially held by Context Partners Master Fund, L.P.</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(5)</w:t>
            </w:r>
          </w:p>
        </w:tc>
        <w:tc>
          <w:tcPr>
            <w:tcW w:w="9951" w:type="dxa"/>
            <w:tcBorders/>
            <w:vAlign w:val="center"/>
          </w:tcPr>
          <w:p>
            <w:pPr>
              <w:pStyle w:val="TableContents"/>
              <w:bidi w:val="0"/>
              <w:spacing w:before="0" w:after="283"/>
              <w:jc w:val="both"/>
              <w:rPr/>
            </w:pPr>
            <w:r>
              <w:rPr/>
              <w:t>D. E. Shaw Valence Portfolios, L.L.C., whose business address is c/o D. E. Shaw &amp; Co., L.P., Two Manhattan West, 375 Ninth Avenue, 52nd Floor, New York, NY 10001, beneficially holds 30,808 shares and has the right to receive up to 6,395,161 shares upon conversion of the Convertible Notes. D. E. Shaw Valence Portfolios, L.L.C. has the power to vote or to direct the vote of (and the power to dispose or direct the disposition of) the securities directly owned by it (the “Valence Securities”). D. E. Shaw &amp; Co., L.P. (“DESCO LP”), as the investment adviser of D. E. Shaw Valence Portfolios, L.L.C., may be deemed to have the shared power to vote or direct the vote of (and the shared power to dispose or direct the disposition of) the Valence Securities. D. E. Shaw &amp; Co., L.L.C. (“DESCO LLC”), as the manager of D. E. Shaw Valence Portfolios, L.L.C., may be deemed to have the shared power to vote or direct the vote of (and the shared power to dispose or direct the disposition of) the Valence Securities. Edwin Jager, Maximilian Stone, Adam Deaton and Anoop Prasad, or their designees, exercise voting and investment control over the Valence Securities on DESCO LP’s and DESCO LLC’s behalf. D. E. Shaw &amp; Co., Inc. (“DESCO Inc.”), as general partner of DESCO LP, may be deemed to have the shared power to vote or direct the vote of (and the shared power to dispose or direct the disposition of) the Valence Securities. D. E. Shaw &amp; Co. II, Inc. (“DESCO II Inc.”), as managing member of DESCO LLC, may be deemed to have the shared power to vote or direct the vote of (and the shared power to dispose or direct the disposition of) the Valence Securities. None of DESCO LP, DESCO LLC, DESCO Inc., or DESCO II Inc. owns any shares of the Company directly, and each such entity disclaims beneficial ownership of the Valence Securities. Dr. David E. Shaw does not own any shares of the Company directly. By virtue of Dr. Shaw’s position as President and sole shareholder of DESCO Inc., which is the general partner of DESCO LP, and by virtue of Dr. Shaw’s position as President and sole shareholder of DESCO II Inc., which is the managing member of DESCO LLC, Dr. Shaw may be deemed to have the shared power to vote or direct the vote of (and the shared power to dispose or direct the disposition of) the Valence Securities and, therefore, Dr. Shaw may be deemed to be the beneficial owner of the Valence Securities. Dr. Shaw disclaims beneficial ownership of the Valence Securities. D. E. Shaw Valence Portfolios, L.L.C. may be deemed an affiliate of D. E. Shaw Securities, L.L.C., a registered broker dealer, which will not be involved in the offering or distribution of securities to be registered pursuant to this prospectus. D. E. Shaw Valence Portfolios, L.L.C. acquired the Convertible Notes for investment purposes and in the ordinary course of business, and at the time of the acquisition of such securities, it did not have any agreements or understandings with any person to distribute such securities or the shares underlying such securities.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S-12</w:t>
      </w:r>
    </w:p>
    <w:p>
      <w:pPr>
        <w:pStyle w:val="TextBody"/>
        <w:bidi w:val="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(6)</w:t>
            </w:r>
          </w:p>
        </w:tc>
        <w:tc>
          <w:tcPr>
            <w:tcW w:w="9951" w:type="dxa"/>
            <w:tcBorders/>
            <w:vAlign w:val="center"/>
          </w:tcPr>
          <w:p>
            <w:pPr>
              <w:pStyle w:val="TableContents"/>
              <w:bidi w:val="0"/>
              <w:spacing w:before="0" w:after="283"/>
              <w:jc w:val="both"/>
              <w:rPr/>
            </w:pPr>
            <w:r>
              <w:rPr/>
              <w:t>D. E. Shaw Cogence Portfolios, L.L.C., whose business address is c/o D. E. Shaw &amp; Co., L.P., Two Manhattan West, 375 Ninth Avenue, 52nd Floor, New York, NY 10001, has the right to receive up to 594,086 shares upon conversion of the Convertible Notes. D. E. Shaw Cogence Portfolios, L.L.C. has the power to vote or to direct the vote of (and the power to dispose or direct the disposition of) the securities directly owned by it (the “Cogence Securities”). D. E. Shaw &amp; Co., L.P. (“DESCO LP”), as the investment adviser of D. E. Shaw Cogence Portfolios, L.L.C., may be deemed to have the shared power to vote or direct the vote of (and the shared power to dispose or direct the disposition of) the Cogence Securities. D. E. Shaw &amp; Co., L.L.C. (“DESCO LLC”), as the manager of D. E. Shaw Cogence Portfolios, L.L.C., may be deemed to have the shared power to vote or direct the vote of (and the shared power to dispose or direct the disposition of) the Cogence Securities. Edwin Jager, Maximilian Stone, Adam Deaton and Anoop Prasad, or their designees, exercise voting and investment control over the Cogence Securities on DESCO LP’s and DESCO LLC’s behalf. D. E. Shaw &amp; Co., Inc. (“DESCO Inc.”), as general partner of DESCO LP, may be deemed to have the shared power to vote or direct the vote of (and the shared power to dispose or direct the disposition of) the Cogence Securities. D. E. Shaw &amp; Co. II, Inc. (“DESCO II Inc.”), as managing member of DESCO LLC, may be deemed to have the shared power to vote or direct the vote of (and the shared power to dispose or direct the disposition of) the Cogence Securities. None of DESCO LP, DESCO LLC, DESCO Inc., or DESCO II Inc. owns any shares of the Company directly, and each such entity disclaims beneficial ownership of the Cogence Securities. Dr. David E. Shaw does not own any shares of the Company directly. By virtue of Dr. Shaw’s position as President and sole shareholder of DESCO Inc., which is the general partner of DESCO LP, and by virtue of Dr. Shaw’s position as President and sole shareholder of DESCO II Inc., which is the managing member of DESCO LLC, Dr. Shaw may be deemed to have the shared power to vote or direct the vote of (and the shared power to dispose or direct the disposition of) the Cogence Securities and, therefore, Dr. Shaw may be deemed to be the beneficial owner of the Cogence Securities. Dr. Shaw disclaims beneficial ownership of the Cogence Securities. D. E. Shaw Cogence Portfolios, L.L.C. may be deemed an affiliate of D. E. Shaw Securities, L.L.C., a registered broker dealer, which will not be involved in the offering or distribution of securities to be registered pursuant to this prospectus. D. E. Shaw Cogence Portfolios, L.L.C. acquired the Convertible Notes for investment purposes and in the ordinary course of business, and at the time of the acquisition of such securities, it did not have any agreements or understandings with any person to distribute such securities or the shares underlying such securities.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(7)</w:t>
            </w:r>
          </w:p>
        </w:tc>
        <w:tc>
          <w:tcPr>
            <w:tcW w:w="9943" w:type="dxa"/>
            <w:tcBorders/>
            <w:vAlign w:val="center"/>
          </w:tcPr>
          <w:p>
            <w:pPr>
              <w:pStyle w:val="TableContents"/>
              <w:bidi w:val="0"/>
              <w:spacing w:before="0" w:after="283"/>
              <w:jc w:val="both"/>
              <w:rPr/>
            </w:pPr>
            <w:r>
              <w:rPr/>
              <w:t>These securities are beneficially held by Lazard Asset Management LLC, whose address is 30 Rockefeller Plaza, New York, NY 10112. Lazard Asset Management LLC, in its capacity as investment adviser, has the shared power to vote or direct the vote of (and the shared power to dispose or direct the disposition of) the securities. Sean Reynolds, Frank Bianco, Sri Nadesan and Douglas Workman, or their designees, exercise voting and investment control over the securities on Lazard Asset Management LLC’s behalf. Lazard Asset Management LLC disclaims beneficial ownership of the securities except to the extent of its pecuniary interest therein.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(8)</w:t>
            </w:r>
          </w:p>
        </w:tc>
        <w:tc>
          <w:tcPr>
            <w:tcW w:w="9945" w:type="dxa"/>
            <w:tcBorders/>
            <w:vAlign w:val="center"/>
          </w:tcPr>
          <w:p>
            <w:pPr>
              <w:pStyle w:val="TableContents"/>
              <w:bidi w:val="0"/>
              <w:spacing w:before="0" w:after="283"/>
              <w:jc w:val="both"/>
              <w:rPr/>
            </w:pPr>
            <w:r>
              <w:rPr/>
              <w:t>Linden Advisors LP is an investment manager for the beneficial owners Linden Capital L.P. and two separately managed accounts and holds voting and dispositive power over the securities held by them. Linden Capital L.P. holds approximately 96%, and the two separately managed accounts (Crown Linden Segregated Portfolio and PCH SP214) together hold approximately 4% of the shares listed above next to Linden Advisors LP, and each separately managed account holds less than 1% of any class of shares of the Company. Mr. Siu Min Wong is the principal owner and the controlling person of Linden Advisors LP and also shares voting and dispositive power with respect to the securities listed above next to Linden Advisors LP. The business address of Linden Advisors LP is 590 Madison Avenue, 32</w:t>
            </w:r>
            <w:r>
              <w:rPr>
                <w:position w:val="8"/>
                <w:sz w:val="19"/>
              </w:rPr>
              <w:t>nd</w:t>
            </w:r>
            <w:r>
              <w:rPr/>
              <w:t xml:space="preserve"> Floor, New York, NY 10022.</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(9)</w:t>
            </w:r>
          </w:p>
        </w:tc>
        <w:tc>
          <w:tcPr>
            <w:tcW w:w="9942" w:type="dxa"/>
            <w:tcBorders/>
            <w:vAlign w:val="center"/>
          </w:tcPr>
          <w:p>
            <w:pPr>
              <w:pStyle w:val="TableContents"/>
              <w:bidi w:val="0"/>
              <w:spacing w:before="0" w:after="283"/>
              <w:jc w:val="both"/>
              <w:rPr/>
            </w:pPr>
            <w:r>
              <w:rPr/>
              <w:t>These securities are beneficially held by Two Sigma Horizon Portfolio, LLC whose address is c/o Two Sigma Investments, LP, 100 Avenue of the Americas, 16th Floor, New York, NY 10013. Two Sigma Investments, LP (“TSI”) serves as investment adviser of Two Sigma Horizon Portfolio, LLC, and may be deemed to have investment discretion and voting power over the securities, which are held by Two Sigma Horizon Portfolio, LLC. Trusts established by John A. Overdeck and David M. Siegel are the principal owners of TSI. Each of TSI, Mr. Overdeck and Mr. Siegel disclaim any beneficial ownership over the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r_008"/>
      <w:bookmarkEnd w:id="9"/>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for resale by the Selling Stockholders up to 32,258,059 shares of common stock to permit the Selling Stockholders to conduct public secondary trading of these securities from time to time after the date of this prospectus supplement. The Selling Stockholders may offer, sell, transfer, distribute, or otherwise dispose of all or a portion of the Conversion Shares issued to them upon conversion of the Convertible Notes publicly or through private transactions at fixed prices, prevailing market prices or at negotiated prices, or at market prices prevailing at the time of sale. We will not receive any of the proceeds of the sale of any Conversion Shares offered by the Selling Stockholders. The aggregate proceeds to the Selling Stockholders from the sale of any Conversion Shares will be the purchase price of such Conversion Shares less any discounts and commissions. We are paying certain expenses (other than commissions and discounts of underwriters, brokers, dealers or agents) incidental to the offering and sale of the Conversion Shares covered by this prospectus supplement by the Selling Stockholders to the public. The Selling Stockholders reserve the right to accept and, together with their respective agents, to reject, any proposed purchases of Conversion Shares to be made directly or through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Conversion Shares offered by the Selling Stockholders may be sold from time to time to purchasers: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443"/>
        <w:gridCol w:w="9664"/>
      </w:tblGrid>
      <w:tr>
        <w:trPr/>
        <w:tc>
          <w:tcPr>
            <w:tcW w:w="9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pPr>
            <w:r>
              <w:rPr/>
              <w:t>●</w:t>
            </w:r>
          </w:p>
        </w:tc>
        <w:tc>
          <w:tcPr>
            <w:tcW w:w="9664" w:type="dxa"/>
            <w:tcBorders/>
            <w:vAlign w:val="center"/>
          </w:tcPr>
          <w:p>
            <w:pPr>
              <w:pStyle w:val="TableContents"/>
              <w:bidi w:val="0"/>
              <w:spacing w:before="0" w:after="283"/>
              <w:jc w:val="both"/>
              <w:rPr/>
            </w:pPr>
            <w:r>
              <w:rPr/>
              <w:t>directly by the Selling Stockholders,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through underwriters, broker-dealers or agents, who may receive compensation in the form of discounts, commissions or agent’s commissions from the Selling Stockholders or the purchasers of such Conversion Shares.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underwriters, broker-dealers or agents who participate in the sale or distribution of any Conversion Shares may be deemed to be “underwriters” within the meaning of the Securities Act. As a result, any discounts, commissions or concessions received by any such broker-dealer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Exchange Act. We will make copies of this prospectus supplement available to the Selling Stockholders for the purpose of satisfying the prospectus delivery requirements of the Securities Act. To our knowledge, there are currently no plans, arrangements or understandings between the Selling Stockholders and any underwriter, broker-dealer or agent regarding the sale of the securities by the Selling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Sharees may be sold in one or more transactions at:</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7"/>
        <w:gridCol w:w="1241"/>
        <w:gridCol w:w="8687"/>
      </w:tblGrid>
      <w:tr>
        <w:trPr/>
        <w:tc>
          <w:tcPr>
            <w:tcW w:w="27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pPr>
            <w:r>
              <w:rPr/>
              <w:t>●</w:t>
            </w:r>
          </w:p>
        </w:tc>
        <w:tc>
          <w:tcPr>
            <w:tcW w:w="8687" w:type="dxa"/>
            <w:tcBorders/>
            <w:vAlign w:val="center"/>
          </w:tcPr>
          <w:p>
            <w:pPr>
              <w:pStyle w:val="TableContents"/>
              <w:bidi w:val="0"/>
              <w:spacing w:before="0" w:after="283"/>
              <w:jc w:val="both"/>
              <w:rPr/>
            </w:pPr>
            <w:r>
              <w:rPr/>
              <w:t>fixed prices;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90"/>
        <w:gridCol w:w="406"/>
        <w:gridCol w:w="9709"/>
      </w:tblGrid>
      <w:tr>
        <w:trPr/>
        <w:tc>
          <w:tcPr>
            <w:tcW w:w="9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283"/>
              <w:jc w:val="both"/>
              <w:rPr/>
            </w:pPr>
            <w:r>
              <w:rPr/>
              <w:t>prevailing market prices at the time of sale;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4"/>
        <w:gridCol w:w="376"/>
        <w:gridCol w:w="9745"/>
      </w:tblGrid>
      <w:tr>
        <w:trPr/>
        <w:tc>
          <w:tcPr>
            <w:tcW w:w="8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w:t>
            </w:r>
          </w:p>
        </w:tc>
        <w:tc>
          <w:tcPr>
            <w:tcW w:w="9745" w:type="dxa"/>
            <w:tcBorders/>
            <w:vAlign w:val="center"/>
          </w:tcPr>
          <w:p>
            <w:pPr>
              <w:pStyle w:val="TableContents"/>
              <w:bidi w:val="0"/>
              <w:spacing w:before="0" w:after="283"/>
              <w:jc w:val="both"/>
              <w:rPr/>
            </w:pPr>
            <w:r>
              <w:rPr/>
              <w:t>prices related to such prevailing market prices;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2"/>
        <w:gridCol w:w="368"/>
        <w:gridCol w:w="9755"/>
      </w:tblGrid>
      <w:tr>
        <w:trPr/>
        <w:tc>
          <w:tcPr>
            <w:tcW w:w="8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pPr>
            <w:r>
              <w:rPr/>
              <w:t>varying prices determined at the time of sale;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04"/>
        <w:gridCol w:w="917"/>
        <w:gridCol w:w="9084"/>
      </w:tblGrid>
      <w:tr>
        <w:trPr/>
        <w:tc>
          <w:tcPr>
            <w:tcW w:w="20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pPr>
            <w:r>
              <w:rPr/>
              <w:t>●</w:t>
            </w:r>
          </w:p>
        </w:tc>
        <w:tc>
          <w:tcPr>
            <w:tcW w:w="9084" w:type="dxa"/>
            <w:tcBorders/>
            <w:vAlign w:val="center"/>
          </w:tcPr>
          <w:p>
            <w:pPr>
              <w:pStyle w:val="TableContents"/>
              <w:bidi w:val="0"/>
              <w:spacing w:before="0" w:after="283"/>
              <w:jc w:val="both"/>
              <w:rPr/>
            </w:pPr>
            <w:r>
              <w:rPr/>
              <w:t>negotiated prices.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sales may be effected in one or more transactions, subject to the terms of the Purchase Agreements: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any national securities exchange or quotation service on which the securities may be listed or quoted at the time of sale, including NYSE;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22"/>
        <w:gridCol w:w="551"/>
        <w:gridCol w:w="9532"/>
      </w:tblGrid>
      <w:tr>
        <w:trPr/>
        <w:tc>
          <w:tcPr>
            <w:tcW w:w="12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pPr>
            <w:r>
              <w:rPr/>
              <w:t>●</w:t>
            </w:r>
          </w:p>
        </w:tc>
        <w:tc>
          <w:tcPr>
            <w:tcW w:w="9532" w:type="dxa"/>
            <w:tcBorders/>
            <w:vAlign w:val="center"/>
          </w:tcPr>
          <w:p>
            <w:pPr>
              <w:pStyle w:val="TableContents"/>
              <w:bidi w:val="0"/>
              <w:spacing w:before="0" w:after="283"/>
              <w:jc w:val="both"/>
              <w:rPr/>
            </w:pPr>
            <w:r>
              <w:rPr/>
              <w:t>in the over-the-counter market;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2"/>
        <w:gridCol w:w="189"/>
        <w:gridCol w:w="9974"/>
      </w:tblGrid>
      <w:tr>
        <w:trPr/>
        <w:tc>
          <w:tcPr>
            <w:tcW w:w="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before="0" w:after="283"/>
              <w:jc w:val="both"/>
              <w:rPr/>
            </w:pPr>
            <w:r>
              <w:rPr/>
              <w:t>in transactions otherwise than on such exchanges or services or in the over-the-counter market;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2"/>
        <w:gridCol w:w="189"/>
        <w:gridCol w:w="9974"/>
      </w:tblGrid>
      <w:tr>
        <w:trPr/>
        <w:tc>
          <w:tcPr>
            <w:tcW w:w="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before="0" w:after="283"/>
              <w:jc w:val="both"/>
              <w:rPr/>
            </w:pPr>
            <w:r>
              <w:rPr/>
              <w:t>ordinary brokerage transactions and transactions in which the broker-dealer solicits purchasers;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S-14</w:t>
      </w:r>
    </w:p>
    <w:p>
      <w:pPr>
        <w:pStyle w:val="TextBody"/>
        <w:bidi w:val="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block trades in which the broker-dealer will attempt to sell the common stock as agent, but may position and resell a portion of the block as principal to facilitate the transaction;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5"/>
        <w:gridCol w:w="201"/>
        <w:gridCol w:w="9959"/>
      </w:tblGrid>
      <w:tr>
        <w:trPr/>
        <w:tc>
          <w:tcPr>
            <w:tcW w:w="4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w:t>
            </w:r>
          </w:p>
        </w:tc>
        <w:tc>
          <w:tcPr>
            <w:tcW w:w="9959" w:type="dxa"/>
            <w:tcBorders/>
            <w:vAlign w:val="center"/>
          </w:tcPr>
          <w:p>
            <w:pPr>
              <w:pStyle w:val="TableContents"/>
              <w:bidi w:val="0"/>
              <w:spacing w:before="0" w:after="283"/>
              <w:jc w:val="both"/>
              <w:rPr/>
            </w:pPr>
            <w:r>
              <w:rPr/>
              <w:t>purchases by a broker-dealer as principal and resale by the broker-dealer for its accounts;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9"/>
        <w:gridCol w:w="219"/>
        <w:gridCol w:w="9937"/>
      </w:tblGrid>
      <w:tr>
        <w:trPr/>
        <w:tc>
          <w:tcPr>
            <w:tcW w:w="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an exchange distribution in accordance with the rules of the applicable exchange;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6"/>
        <w:gridCol w:w="520"/>
        <w:gridCol w:w="9569"/>
      </w:tblGrid>
      <w:tr>
        <w:trPr/>
        <w:tc>
          <w:tcPr>
            <w:tcW w:w="11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pPr>
            <w:r>
              <w:rPr/>
              <w:t>●</w:t>
            </w:r>
          </w:p>
        </w:tc>
        <w:tc>
          <w:tcPr>
            <w:tcW w:w="9569" w:type="dxa"/>
            <w:tcBorders/>
            <w:vAlign w:val="center"/>
          </w:tcPr>
          <w:p>
            <w:pPr>
              <w:pStyle w:val="TableContents"/>
              <w:bidi w:val="0"/>
              <w:spacing w:before="0" w:after="283"/>
              <w:jc w:val="both"/>
              <w:rPr/>
            </w:pPr>
            <w:r>
              <w:rPr/>
              <w:t>privately negotiated transactions;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8"/>
        <w:gridCol w:w="264"/>
        <w:gridCol w:w="9883"/>
      </w:tblGrid>
      <w:tr>
        <w:trPr/>
        <w:tc>
          <w:tcPr>
            <w:tcW w:w="5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w:t>
            </w:r>
          </w:p>
        </w:tc>
        <w:tc>
          <w:tcPr>
            <w:tcW w:w="9883" w:type="dxa"/>
            <w:tcBorders/>
            <w:vAlign w:val="center"/>
          </w:tcPr>
          <w:p>
            <w:pPr>
              <w:pStyle w:val="TableContents"/>
              <w:bidi w:val="0"/>
              <w:spacing w:before="0" w:after="283"/>
              <w:jc w:val="both"/>
              <w:rPr/>
            </w:pPr>
            <w:r>
              <w:rPr/>
              <w:t>distributions to their members, employees, partners or shareholders;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short sales effected after the date on which the registration statement of which this prospectus supplement forms a part is declared effective by the SEC;</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through the writing or settlement of options or other hedging transactions, whether through an options exchange or otherwise;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market transactions, including transactions on a national securities exchange or quotations service or over-the-counter market;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0"/>
        <w:gridCol w:w="494"/>
        <w:gridCol w:w="9601"/>
      </w:tblGrid>
      <w:tr>
        <w:trPr/>
        <w:tc>
          <w:tcPr>
            <w:tcW w:w="11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pPr>
            <w:r>
              <w:rPr/>
              <w:t>●</w:t>
            </w:r>
          </w:p>
        </w:tc>
        <w:tc>
          <w:tcPr>
            <w:tcW w:w="9601" w:type="dxa"/>
            <w:tcBorders/>
            <w:vAlign w:val="center"/>
          </w:tcPr>
          <w:p>
            <w:pPr>
              <w:pStyle w:val="TableContents"/>
              <w:bidi w:val="0"/>
              <w:spacing w:before="0" w:after="283"/>
              <w:jc w:val="both"/>
              <w:rPr/>
            </w:pPr>
            <w:r>
              <w:rPr/>
              <w:t>directly to one or more purchasers;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28"/>
        <w:gridCol w:w="1021"/>
        <w:gridCol w:w="8956"/>
      </w:tblGrid>
      <w:tr>
        <w:trPr/>
        <w:tc>
          <w:tcPr>
            <w:tcW w:w="22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pPr>
            <w:r>
              <w:rPr/>
              <w:t>●</w:t>
            </w:r>
          </w:p>
        </w:tc>
        <w:tc>
          <w:tcPr>
            <w:tcW w:w="8956" w:type="dxa"/>
            <w:tcBorders/>
            <w:vAlign w:val="center"/>
          </w:tcPr>
          <w:p>
            <w:pPr>
              <w:pStyle w:val="TableContents"/>
              <w:bidi w:val="0"/>
              <w:spacing w:before="0" w:after="283"/>
              <w:jc w:val="both"/>
              <w:rPr/>
            </w:pPr>
            <w:r>
              <w:rPr/>
              <w:t>through agents;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broker-dealers may agree with the Selling Stockholders to sell a specified number of such common stock at a stipulated price per share;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9"/>
        <w:gridCol w:w="355"/>
        <w:gridCol w:w="9771"/>
      </w:tblGrid>
      <w:tr>
        <w:trPr/>
        <w:tc>
          <w:tcPr>
            <w:tcW w:w="7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pPr>
            <w:r>
              <w:rPr/>
              <w:t>●</w:t>
            </w:r>
          </w:p>
        </w:tc>
        <w:tc>
          <w:tcPr>
            <w:tcW w:w="9771" w:type="dxa"/>
            <w:tcBorders/>
            <w:vAlign w:val="center"/>
          </w:tcPr>
          <w:p>
            <w:pPr>
              <w:pStyle w:val="TableContents"/>
              <w:bidi w:val="0"/>
              <w:spacing w:before="0" w:after="283"/>
              <w:jc w:val="both"/>
              <w:rPr/>
            </w:pPr>
            <w:r>
              <w:rPr/>
              <w:t>any other method permitted by applicable law;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91"/>
        <w:gridCol w:w="408"/>
        <w:gridCol w:w="9706"/>
      </w:tblGrid>
      <w:tr>
        <w:trPr/>
        <w:tc>
          <w:tcPr>
            <w:tcW w:w="9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pPr>
            <w:r>
              <w:rPr/>
              <w:t>●</w:t>
            </w:r>
          </w:p>
        </w:tc>
        <w:tc>
          <w:tcPr>
            <w:tcW w:w="9706" w:type="dxa"/>
            <w:tcBorders/>
            <w:vAlign w:val="center"/>
          </w:tcPr>
          <w:p>
            <w:pPr>
              <w:pStyle w:val="TableContents"/>
              <w:bidi w:val="0"/>
              <w:spacing w:before="0" w:after="283"/>
              <w:jc w:val="both"/>
              <w:rPr/>
            </w:pPr>
            <w:r>
              <w:rPr/>
              <w:t>through any combination of the foregoing.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transactions may include block transactions or crosses. Crosses are transactions in which the same broker acts as an agent on both sides of the trade.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 particular offering of Conversion Shares is made, a prospectus supplement may be distributed, which will set forth the name of the Selling Stockholder, the aggregate amount of Conversion Shares being offered and the terms of the offering, including, to the extent required, (1) the name or names of any underwriters, broker-dealers or agents, (2) any discounts, commissions and other terms constituting compensation from the Selling Stockholders and (3) any discounts, commissions or concessions allowed or reallowed to be paid to broker-dealers. We may suspend the sale of Securities by the Selling Stockholders pursuant to this prospectus supplement for certain periods of time for certain reasons, including if the prospectus supplement is required to be supplemented or amended to include additional material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Rule 15c6-1 of the Exchange Act, trades in the secondary market generally are required to settle in one business day, unless the parties to any such trade expressly agree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terms of any lock-up provisions in respect of any given offering will be described in the applicable prospectus supplement and/or any related free writing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anticipated date of delivery of any offered Conversion Shares will be set forth in the applicable prospectus supplement and/or any related free writing prospectus relating to each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act independently of us in making decisions with respect to the timing, manner, and size of each resale or other transfer. There can be no assurance that the Selling Stockholders will sell any or all of the Conversion Shares under this prospectus supplement. Further, we cannot assure you that the Selling Stockholders will not transfer, distribute, devise or gift any Conversion Shares by other means not described in this prospectus supplement. In addition, any Conversion Shares covered by this prospectus supplement that qualify for sale under Rule 144 of the Securities Act may be sold under Rule 144 rather than under this prospectus supplement. The Conversion Shares may be sold in some states only through registered or licensed brokers or dealers. In addition, in some states the Conversion Shares may not be sold unless they have been registered or qualified for sale or an exemption from registration or qualification is available and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other person participating in the sale of any Conversion Shares will be subject to the Exchange Act. The Exchange Act rules include, without limitation, Regulation M, which may limit the timing of purchases and sales of any of the Conversion Shares by the Selling Stockholders and any other person. In addition, Regulation M may restrict the ability of any person engaged in the distribution of any Conversion Shares to engage in market-making activities with respect to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may affect the marketability of the Conversion Shares and the ability of any person or entity to engage in market-making activities with respect to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pledge or grant a security interest in some of the Conversion Shares owned by them and, if a Selling Stockholder defaults in the performance of its secured obligations, the pledgees or secured parties may offer and sell such Conversion Shares from time to time under this prospectus supplement or under a post-effective amendment to the registration statement of which this prospectus supplement forms a part or any accompanying prospectus supplement amending the list of the Selling Stockholders to include the pledgee, transferee or other successors in interest as the Selling Stockholders under this prospectus supplement. The Selling Stockholders also may transfer any Conversion Shares in other circumstances, in which case the transferees, pledgees or other successors in interest will be the selling beneficial owners for purposes of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expenses of registration, see the section titled “Use of Proceeds” appearing elsewhere in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r_009"/>
      <w:bookmarkEnd w:id="10"/>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Conversion Shares offered hereby has been passed upon for T1 Energy by Skadden, Arps, Slate, Meagher &amp; Flom LLP, Houston, Texas.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r_010"/>
      <w:bookmarkEnd w:id="11"/>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T1 Energy Inc. as of December 31, 2025, and for the year ended December 31, 2025,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as of December 31, 2024 and for the fiscal year ended December 31, 2024 (before the effects of the adjustments to retrospectively present the reclassification of certain amounts that had previously been classified as held for sale and were reclassified as held and used as of December 31, 2025) incorporated in this prospectus supplement by reference to the Annual Report on Form 10-K for the year ended December 31, 2025 have been so incorporated in reliance on the report of PricewaterhouseCoopers AS, an independent registered public accounting firm, given on the authority of said firm as experts in auditing and accounting. PricewaterhouseCoopers AS is a member of Den norske Revisorforening.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r_011"/>
      <w:bookmarkEnd w:id="12"/>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including exhibits, under the Securities Act with respect to the securities being offered by this prospectus supplement. The registration statement, including exhibits, contains additional relevant information about us and the Securities. This prospectus supplement, which constitutes part of the registration statement, does not contain all of the information set forth in the registration statement and its exhibits. For further information with respect to us and the Conversion Shares offered by this prospectus supplement, we refer you to the registration statement and its exhibits. Statements contained in this prospectus supplement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annual, quarterly and current reports, proxy statements and other information with the SEC under the Exchange Act. Our SEC filings are available to the public at the SEC’s website at </w:t>
      </w:r>
      <w:r>
        <w:rPr>
          <w:rFonts w:ascii="Times New Roman;Times;Serif" w:hAnsi="Times New Roman;Times;Serif"/>
          <w:b w:val="false"/>
          <w:i/>
          <w:caps w:val="false"/>
          <w:smallCaps w:val="false"/>
          <w:sz w:val="20"/>
        </w:rPr>
        <w:t>https://www.sec.gov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r_012"/>
      <w:bookmarkEnd w:id="13"/>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supplement information we file with the SEC in other documents. This means that we can disclose important information to you by referring to another document we filed with the SEC. The information relating to us contained in this prospectus supplement should be read together with the information in the documents incorporated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 that we have previously filed with the SEC (other than any document or portion of any document furnished or deemed furnished and not filed in accordance with SEC rules, including Items 2.02 and 7.01 of Form 8-K and Item 9.01 related thereto):</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Annual Report on </w:t>
            </w:r>
            <w:hyperlink r:id="rId3">
              <w:r>
                <w:rPr>
                  <w:rStyle w:val="InternetLink"/>
                </w:rPr>
                <w:t>Form 10-K</w:t>
              </w:r>
            </w:hyperlink>
            <w:r>
              <w:rPr/>
              <w:t xml:space="preserve"> and </w:t>
            </w:r>
            <w:hyperlink r:id="rId4">
              <w:r>
                <w:rPr>
                  <w:rStyle w:val="InternetLink"/>
                </w:rPr>
                <w:t>Form 10-K/A</w:t>
              </w:r>
            </w:hyperlink>
            <w:r>
              <w:rPr/>
              <w:t xml:space="preserve"> for the fiscal year ended December 31, 2025, filed with the SEC on March 31, 2026 and April 30, 2026, respectively;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Quarterly Reports on Form 10-Q for the quarterly periods ended March 31, 2026 and June 30, 2026, filed with the SEC on </w:t>
            </w:r>
            <w:hyperlink r:id="rId5">
              <w:r>
                <w:rPr>
                  <w:rStyle w:val="InternetLink"/>
                </w:rPr>
                <w:t>May 12, 2026</w:t>
              </w:r>
            </w:hyperlink>
            <w:r>
              <w:rPr/>
              <w:t xml:space="preserve"> and </w:t>
            </w:r>
            <w:hyperlink r:id="rId6">
              <w:r>
                <w:rPr>
                  <w:rStyle w:val="InternetLink"/>
                </w:rPr>
                <w:t>August 12, 2026</w:t>
              </w:r>
            </w:hyperlink>
            <w:r>
              <w:rPr/>
              <w:t>, respectively;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Current Reports on Form 8-K filed with the SEC on </w:t>
            </w:r>
            <w:hyperlink r:id="rId7">
              <w:r>
                <w:rPr>
                  <w:rStyle w:val="InternetLink"/>
                </w:rPr>
                <w:t>January 21, 2026</w:t>
              </w:r>
            </w:hyperlink>
            <w:r>
              <w:rPr/>
              <w:t>, </w:t>
            </w:r>
            <w:hyperlink r:id="rId8">
              <w:r>
                <w:rPr>
                  <w:rStyle w:val="InternetLink"/>
                </w:rPr>
                <w:t>February 6, 2026</w:t>
              </w:r>
            </w:hyperlink>
            <w:r>
              <w:rPr/>
              <w:t>, </w:t>
            </w:r>
            <w:hyperlink r:id="rId9">
              <w:r>
                <w:rPr>
                  <w:rStyle w:val="InternetLink"/>
                </w:rPr>
                <w:t>February 18, 2026</w:t>
              </w:r>
            </w:hyperlink>
            <w:r>
              <w:rPr/>
              <w:t xml:space="preserve">, </w:t>
            </w:r>
            <w:hyperlink r:id="rId10">
              <w:r>
                <w:rPr>
                  <w:rStyle w:val="InternetLink"/>
                </w:rPr>
                <w:t>March 31, 2026</w:t>
              </w:r>
            </w:hyperlink>
            <w:r>
              <w:rPr/>
              <w:t xml:space="preserve"> (solely with respect to Item 5.02), </w:t>
            </w:r>
            <w:hyperlink r:id="rId11">
              <w:r>
                <w:rPr>
                  <w:rStyle w:val="InternetLink"/>
                </w:rPr>
                <w:t>April 17, 2026</w:t>
              </w:r>
            </w:hyperlink>
            <w:r>
              <w:rPr/>
              <w:t xml:space="preserve">, </w:t>
            </w:r>
            <w:hyperlink r:id="rId12">
              <w:r>
                <w:rPr>
                  <w:rStyle w:val="InternetLink"/>
                </w:rPr>
                <w:t>April 27, 2026</w:t>
              </w:r>
            </w:hyperlink>
            <w:r>
              <w:rPr/>
              <w:t xml:space="preserve">, </w:t>
            </w:r>
            <w:hyperlink r:id="rId13">
              <w:r>
                <w:rPr>
                  <w:rStyle w:val="InternetLink"/>
                </w:rPr>
                <w:t>June 8, 2026</w:t>
              </w:r>
            </w:hyperlink>
            <w:r>
              <w:rPr/>
              <w:t xml:space="preserve">, </w:t>
            </w:r>
            <w:hyperlink r:id="rId14">
              <w:r>
                <w:rPr>
                  <w:rStyle w:val="InternetLink"/>
                </w:rPr>
                <w:t>June 17, 2026</w:t>
              </w:r>
            </w:hyperlink>
            <w:r>
              <w:rPr/>
              <w:t xml:space="preserve">, </w:t>
            </w:r>
            <w:hyperlink r:id="rId15">
              <w:r>
                <w:rPr>
                  <w:rStyle w:val="InternetLink"/>
                </w:rPr>
                <w:t>June 29, 2026</w:t>
              </w:r>
            </w:hyperlink>
            <w:r>
              <w:rPr/>
              <w:t xml:space="preserve">, </w:t>
            </w:r>
            <w:hyperlink r:id="rId16">
              <w:r>
                <w:rPr>
                  <w:rStyle w:val="InternetLink"/>
                </w:rPr>
                <w:t>July 28, 2026</w:t>
              </w:r>
            </w:hyperlink>
            <w:r>
              <w:rPr/>
              <w:t xml:space="preserve"> (solely with respect to Items 1.01, 1.02, 2.01 and 3.02), </w:t>
            </w:r>
            <w:hyperlink r:id="rId17">
              <w:r>
                <w:rPr>
                  <w:rStyle w:val="InternetLink"/>
                </w:rPr>
                <w:t>July 28, 2026</w:t>
              </w:r>
            </w:hyperlink>
            <w:r>
              <w:rPr/>
              <w:t xml:space="preserve"> (solely with respect to Item 8.01), </w:t>
            </w:r>
            <w:hyperlink r:id="rId18">
              <w:r>
                <w:rPr>
                  <w:rStyle w:val="InternetLink"/>
                </w:rPr>
                <w:t>July 30, 2026</w:t>
              </w:r>
            </w:hyperlink>
            <w:r>
              <w:rPr/>
              <w:t xml:space="preserve">, </w:t>
            </w:r>
            <w:hyperlink r:id="rId19">
              <w:r>
                <w:rPr>
                  <w:rStyle w:val="InternetLink"/>
                </w:rPr>
                <w:t>July 31, 2026</w:t>
              </w:r>
            </w:hyperlink>
            <w:r>
              <w:rPr/>
              <w:t xml:space="preserve"> and </w:t>
            </w:r>
            <w:hyperlink r:id="rId20">
              <w:r>
                <w:rPr>
                  <w:rStyle w:val="InternetLink"/>
                </w:rPr>
                <w:t>August 7, 2026</w:t>
              </w:r>
            </w:hyperlink>
            <w:r>
              <w:rPr/>
              <w:t>;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6"/>
        <w:gridCol w:w="9966"/>
      </w:tblGrid>
      <w:tr>
        <w:trPr/>
        <w:tc>
          <w:tcPr>
            <w:tcW w:w="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w:t>
            </w:r>
          </w:p>
        </w:tc>
        <w:tc>
          <w:tcPr>
            <w:tcW w:w="9966" w:type="dxa"/>
            <w:tcBorders/>
            <w:vAlign w:val="center"/>
          </w:tcPr>
          <w:p>
            <w:pPr>
              <w:pStyle w:val="TableContents"/>
              <w:bidi w:val="0"/>
              <w:spacing w:before="0" w:after="283"/>
              <w:jc w:val="both"/>
              <w:rPr/>
            </w:pPr>
            <w:r>
              <w:rPr/>
              <w:t>the definitive Proxy Statement on </w:t>
            </w:r>
            <w:hyperlink r:id="rId21">
              <w:r>
                <w:rPr>
                  <w:rStyle w:val="InternetLink"/>
                </w:rPr>
                <w:t>Schedule 14A</w:t>
              </w:r>
            </w:hyperlink>
            <w:r>
              <w:rPr/>
              <w:t>, filed with the SEC on May 18, 2026;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The description of the Company’s common stock set forth in our Current Report on </w:t>
            </w:r>
            <w:hyperlink r:id="rId22">
              <w:r>
                <w:rPr>
                  <w:rStyle w:val="InternetLink"/>
                </w:rPr>
                <w:t>Form 8-K12B</w:t>
              </w:r>
            </w:hyperlink>
            <w:r>
              <w:rPr/>
              <w:t xml:space="preserve">, filed with the SEC on January 2, 2024, as updated by the description of the Company’s common stock contained in </w:t>
            </w:r>
            <w:hyperlink r:id="rId23">
              <w:r>
                <w:rPr>
                  <w:rStyle w:val="InternetLink"/>
                </w:rPr>
                <w:t>Exhibit 4.8</w:t>
              </w:r>
            </w:hyperlink>
            <w:r>
              <w:rPr/>
              <w:t xml:space="preserve"> to our Annual Report on </w:t>
            </w:r>
            <w:hyperlink r:id="rId24">
              <w:r>
                <w:rPr>
                  <w:rStyle w:val="InternetLink"/>
                </w:rPr>
                <w:t>Form 10-K</w:t>
              </w:r>
            </w:hyperlink>
            <w:r>
              <w:rPr/>
              <w:t xml:space="preserve"> for the fiscal year ended December 31, 2025, filed with the SEC on March 31, 2026, including any amendments or reports filed for the purpose of updating such description.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Information in such future filings update and supplement the information provided in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incorporated by reference is considered to be part of this prospectus supplement, and information that we file later with the SEC and incorporate by reference in this prospectus supplement will automatically update and supersede this previously filed information, as applicable, including information in previously filed documents or reports that have been incorporated by reference into this prospectus supplement. Any statement so modified or superseded will not be deemed, except as so modified or superseded, to constitute a part of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including any beneficial owner, to whom a copy of this prospectus supplement is delivered, upon written or oral request of such person, a copy of any or all of the documents incorporated by reference in this prospectus supplement, other than exhibits to such documents unless such exhibits are specifically incorporated by reference into such documents. Requests may be made by telephone at 409-599-5706, or by sending a written request to T1 Energy Inc., 1211 E 4th St. Austin, Texas 78702, Attention: Jeffery Spittel. Exhibits to any documents incorporated by reference in this prospectus supplement will not be sent, however, unless those exhibits have specifically been incorporated by reference into such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anyone else to provide you with different information. You should not assume that the information in this prospectus supplement is accurate as of any date other than the date on the front of those documents or as of any earlier date as of which such information is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S-20</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T1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285875"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5"/>
                    <a:stretch>
                      <a:fillRect/>
                    </a:stretch>
                  </pic:blipFill>
                  <pic:spPr bwMode="auto">
                    <a:xfrm>
                      <a:off x="0" y="0"/>
                      <a:ext cx="1285875" cy="5048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issue and sell, together or separately: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363"/>
        <w:gridCol w:w="9761"/>
      </w:tblGrid>
      <w:tr>
        <w:trPr/>
        <w:tc>
          <w:tcPr>
            <w:tcW w:w="8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Pr>
            <w:r>
              <w:rPr/>
              <w:t>●</w:t>
            </w:r>
          </w:p>
        </w:tc>
        <w:tc>
          <w:tcPr>
            <w:tcW w:w="9761" w:type="dxa"/>
            <w:tcBorders/>
            <w:vAlign w:val="center"/>
          </w:tcPr>
          <w:p>
            <w:pPr>
              <w:pStyle w:val="TableContents"/>
              <w:bidi w:val="0"/>
              <w:spacing w:before="0" w:after="283"/>
              <w:jc w:val="both"/>
              <w:rPr/>
            </w:pPr>
            <w:r>
              <w:rPr/>
              <w:t>shares of our common stock (as defined herein);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4"/>
        <w:gridCol w:w="9907"/>
      </w:tblGrid>
      <w:tr>
        <w:trPr/>
        <w:tc>
          <w:tcPr>
            <w:tcW w:w="5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both"/>
              <w:rPr/>
            </w:pPr>
            <w:r>
              <w:rPr/>
              <w:t>shares of our preferred stock, which may be issued in one or more series;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debt securities, which may be issued in one or more series and which may be senior debt securities or subordinated debt securities;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7"/>
        <w:gridCol w:w="9989"/>
      </w:tblGrid>
      <w:tr>
        <w:trPr/>
        <w:tc>
          <w:tcPr>
            <w:tcW w:w="3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both"/>
              <w:rPr/>
            </w:pPr>
            <w:r>
              <w:rPr/>
              <w:t>warrants to purchase shares of our common stock, shares of our preferred stock or our debt securities;</w:t>
            </w:r>
          </w:p>
        </w:tc>
      </w:tr>
    </w:tbl>
    <w:p>
      <w:pPr>
        <w:pStyle w:val="TextBody"/>
        <w:bidi w:val="0"/>
        <w:spacing w:before="0" w:after="0"/>
        <w:ind w:left="1080" w:right="0" w:hanging="360"/>
        <w:jc w:val="both"/>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subscription rights to purchase shares of our common stock, shares of our preferred stock or debt securities; and </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purchase units comprised of two or more of the securities described in this prospectus, in any combination.</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selling securityholders to be identified in supplements to this prospectus may offer and sell these securities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the specific prices and terms of these securities in one or more supplements to this prospectus at the time of offering. You should read this prospectus and the accompanying prospectus supplement carefully before you make your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sell securities unless accompanied by a prospectus supplement.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AND YOU SHOULD READ THIS PROSPECTUS AND ANY ACCOMPANYING PROSPECTUS SUPPLEMENT BEFORE YOU INVEST. SEE “RISK FACTORS” BEGINNING ON PAGE 2 OF THIS PROSPECTUS AND ANY SIMILAR SECTION INCLUDED IN ANY ACCOMPANYING PROSPECTUS SUPPLEMENT AND IN THE DOCUMENTS INCORPORATED BY REFERENCE IN THIS PROSPECTUS. YOU SHOULD CAREFULLY CONSIDER THESE FACTORS BEFORE MAKING YOUR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securities through underwriting syndicates managed or co-managed by one or more underwriters or dealers, through agents or directly to purchasers. These securities also may be resold by selling securityholders. If required, the prospectus supplement for each offering of securities will describe the plan of distribution for that offering. For general information about the distribution of securities offered, please see “Plan of Distribution”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(as defined herein) are listed on the New York Stock Exchange (“NYSE”) under the symbols “TE” and “TE WS,” respectively. On January 20, 2026, the closing price of our common stock was $8.28 and the closing price of our Public Warrants was $1.65. Each prospectus supplement will indicate if the securities offered thereby will be listed on any securities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(the “SEC”)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January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720" w:right="0" w:hanging="72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8045"/>
        <w:gridCol w:w="275"/>
      </w:tblGrid>
      <w:tr>
        <w:trPr/>
        <w:tc>
          <w:tcPr>
            <w:tcW w:w="8045" w:type="dxa"/>
            <w:tcBorders/>
            <w:shd w:fill="CCEEFF" w:val="clear"/>
            <w:vAlign w:val="center"/>
          </w:tcPr>
          <w:p>
            <w:pPr>
              <w:pStyle w:val="TableContents"/>
              <w:bidi w:val="0"/>
              <w:spacing w:before="0" w:after="283"/>
              <w:ind w:left="0" w:right="0" w:hanging="720"/>
              <w:jc w:val="left"/>
              <w:rPr/>
            </w:pPr>
            <w:hyperlink w:anchor="a_001">
              <w:r>
                <w:rPr>
                  <w:rStyle w:val="InternetLink"/>
                </w:rPr>
                <w:t>ABOUT THIS PROSPECTUS</w:t>
              </w:r>
            </w:hyperlink>
          </w:p>
        </w:tc>
        <w:tc>
          <w:tcPr>
            <w:tcW w:w="275" w:type="dxa"/>
            <w:tcBorders/>
            <w:shd w:fill="CCEEFF" w:val="clear"/>
            <w:vAlign w:val="center"/>
          </w:tcPr>
          <w:p>
            <w:pPr>
              <w:pStyle w:val="TableContents"/>
              <w:bidi w:val="0"/>
              <w:spacing w:before="0" w:after="283"/>
              <w:ind w:left="0" w:right="0" w:hanging="720"/>
              <w:jc w:val="center"/>
              <w:rPr/>
            </w:pPr>
            <w:r>
              <w:rPr/>
              <w:t>ii</w:t>
            </w:r>
          </w:p>
        </w:tc>
      </w:tr>
      <w:tr>
        <w:trPr/>
        <w:tc>
          <w:tcPr>
            <w:tcW w:w="8045" w:type="dxa"/>
            <w:tcBorders/>
            <w:shd w:fill="FFFFFF" w:val="clear"/>
            <w:vAlign w:val="center"/>
          </w:tcPr>
          <w:p>
            <w:pPr>
              <w:pStyle w:val="TableContents"/>
              <w:bidi w:val="0"/>
              <w:spacing w:before="0" w:after="283"/>
              <w:jc w:val="left"/>
              <w:rPr/>
            </w:pPr>
            <w:hyperlink w:anchor="a_002">
              <w:r>
                <w:rPr>
                  <w:rStyle w:val="InternetLink"/>
                </w:rPr>
                <w:t>CAUTIONARY NOTE REGARDING FORWARD-LOOKING STATEMENTS</w:t>
              </w:r>
            </w:hyperlink>
          </w:p>
        </w:tc>
        <w:tc>
          <w:tcPr>
            <w:tcW w:w="275" w:type="dxa"/>
            <w:tcBorders/>
            <w:shd w:fill="FFFFFF" w:val="clear"/>
            <w:vAlign w:val="center"/>
          </w:tcPr>
          <w:p>
            <w:pPr>
              <w:pStyle w:val="TableContents"/>
              <w:bidi w:val="0"/>
              <w:spacing w:before="0" w:after="283"/>
              <w:ind w:left="0" w:right="0" w:hanging="720"/>
              <w:jc w:val="center"/>
              <w:rPr/>
            </w:pPr>
            <w:r>
              <w:rPr/>
              <w:t>iii</w:t>
            </w:r>
          </w:p>
        </w:tc>
      </w:tr>
      <w:tr>
        <w:trPr/>
        <w:tc>
          <w:tcPr>
            <w:tcW w:w="8045" w:type="dxa"/>
            <w:tcBorders/>
            <w:shd w:fill="CCEEFF" w:val="clear"/>
            <w:vAlign w:val="center"/>
          </w:tcPr>
          <w:p>
            <w:pPr>
              <w:pStyle w:val="TableContents"/>
              <w:bidi w:val="0"/>
              <w:spacing w:before="0" w:after="283"/>
              <w:jc w:val="left"/>
              <w:rPr/>
            </w:pPr>
            <w:hyperlink w:anchor="a_003">
              <w:r>
                <w:rPr>
                  <w:rStyle w:val="InternetLink"/>
                </w:rPr>
                <w:t>OUR COMPANY</w:t>
              </w:r>
            </w:hyperlink>
          </w:p>
        </w:tc>
        <w:tc>
          <w:tcPr>
            <w:tcW w:w="275" w:type="dxa"/>
            <w:tcBorders/>
            <w:shd w:fill="CCEEFF" w:val="clear"/>
            <w:vAlign w:val="center"/>
          </w:tcPr>
          <w:p>
            <w:pPr>
              <w:pStyle w:val="TableContents"/>
              <w:bidi w:val="0"/>
              <w:spacing w:before="0" w:after="283"/>
              <w:ind w:left="0" w:right="0" w:hanging="720"/>
              <w:jc w:val="center"/>
              <w:rPr/>
            </w:pPr>
            <w:r>
              <w:rPr/>
              <w:t>1</w:t>
            </w:r>
          </w:p>
        </w:tc>
      </w:tr>
      <w:tr>
        <w:trPr/>
        <w:tc>
          <w:tcPr>
            <w:tcW w:w="8045" w:type="dxa"/>
            <w:tcBorders/>
            <w:shd w:fill="FFFFFF" w:val="clear"/>
            <w:vAlign w:val="center"/>
          </w:tcPr>
          <w:p>
            <w:pPr>
              <w:pStyle w:val="TableContents"/>
              <w:bidi w:val="0"/>
              <w:spacing w:before="0" w:after="283"/>
              <w:jc w:val="left"/>
              <w:rPr/>
            </w:pPr>
            <w:hyperlink w:anchor="a_004">
              <w:r>
                <w:rPr>
                  <w:rStyle w:val="InternetLink"/>
                </w:rPr>
                <w:t>RISK FACTORS</w:t>
              </w:r>
            </w:hyperlink>
          </w:p>
        </w:tc>
        <w:tc>
          <w:tcPr>
            <w:tcW w:w="275" w:type="dxa"/>
            <w:tcBorders/>
            <w:shd w:fill="FFFFFF" w:val="clear"/>
            <w:vAlign w:val="center"/>
          </w:tcPr>
          <w:p>
            <w:pPr>
              <w:pStyle w:val="TableContents"/>
              <w:bidi w:val="0"/>
              <w:spacing w:before="0" w:after="283"/>
              <w:ind w:left="0" w:right="0" w:hanging="720"/>
              <w:jc w:val="center"/>
              <w:rPr/>
            </w:pPr>
            <w:r>
              <w:rPr/>
              <w:t>2</w:t>
            </w:r>
          </w:p>
        </w:tc>
      </w:tr>
      <w:tr>
        <w:trPr/>
        <w:tc>
          <w:tcPr>
            <w:tcW w:w="8045" w:type="dxa"/>
            <w:tcBorders/>
            <w:shd w:fill="CCEEFF" w:val="clear"/>
            <w:vAlign w:val="center"/>
          </w:tcPr>
          <w:p>
            <w:pPr>
              <w:pStyle w:val="TableContents"/>
              <w:bidi w:val="0"/>
              <w:spacing w:before="0" w:after="283"/>
              <w:jc w:val="left"/>
              <w:rPr/>
            </w:pPr>
            <w:hyperlink w:anchor="a_005">
              <w:r>
                <w:rPr>
                  <w:rStyle w:val="InternetLink"/>
                </w:rPr>
                <w:t>USE OF PROCEEDS</w:t>
              </w:r>
            </w:hyperlink>
          </w:p>
        </w:tc>
        <w:tc>
          <w:tcPr>
            <w:tcW w:w="275" w:type="dxa"/>
            <w:tcBorders/>
            <w:shd w:fill="CCEEFF" w:val="clear"/>
            <w:vAlign w:val="center"/>
          </w:tcPr>
          <w:p>
            <w:pPr>
              <w:pStyle w:val="TableContents"/>
              <w:bidi w:val="0"/>
              <w:spacing w:before="0" w:after="283"/>
              <w:ind w:left="0" w:right="0" w:hanging="720"/>
              <w:jc w:val="center"/>
              <w:rPr/>
            </w:pPr>
            <w:r>
              <w:rPr/>
              <w:t>3</w:t>
            </w:r>
          </w:p>
        </w:tc>
      </w:tr>
      <w:tr>
        <w:trPr/>
        <w:tc>
          <w:tcPr>
            <w:tcW w:w="8045" w:type="dxa"/>
            <w:tcBorders/>
            <w:shd w:fill="FFFFFF" w:val="clear"/>
            <w:vAlign w:val="center"/>
          </w:tcPr>
          <w:p>
            <w:pPr>
              <w:pStyle w:val="TableContents"/>
              <w:bidi w:val="0"/>
              <w:spacing w:before="0" w:after="283"/>
              <w:jc w:val="left"/>
              <w:rPr/>
            </w:pPr>
            <w:hyperlink w:anchor="a_006">
              <w:r>
                <w:rPr>
                  <w:rStyle w:val="InternetLink"/>
                </w:rPr>
                <w:t>DESCRIPTION OF SECURITIES</w:t>
              </w:r>
            </w:hyperlink>
          </w:p>
        </w:tc>
        <w:tc>
          <w:tcPr>
            <w:tcW w:w="275" w:type="dxa"/>
            <w:tcBorders/>
            <w:shd w:fill="FFFFFF" w:val="clear"/>
            <w:vAlign w:val="center"/>
          </w:tcPr>
          <w:p>
            <w:pPr>
              <w:pStyle w:val="TableContents"/>
              <w:bidi w:val="0"/>
              <w:spacing w:before="0" w:after="283"/>
              <w:ind w:left="0" w:right="0" w:hanging="720"/>
              <w:jc w:val="center"/>
              <w:rPr/>
            </w:pPr>
            <w:r>
              <w:rPr/>
              <w:t>4</w:t>
            </w:r>
          </w:p>
        </w:tc>
      </w:tr>
      <w:tr>
        <w:trPr/>
        <w:tc>
          <w:tcPr>
            <w:tcW w:w="8045" w:type="dxa"/>
            <w:tcBorders/>
            <w:shd w:fill="CCEEFF" w:val="clear"/>
            <w:vAlign w:val="center"/>
          </w:tcPr>
          <w:p>
            <w:pPr>
              <w:pStyle w:val="TableContents"/>
              <w:bidi w:val="0"/>
              <w:spacing w:before="0" w:after="283"/>
              <w:jc w:val="left"/>
              <w:rPr/>
            </w:pPr>
            <w:hyperlink w:anchor="a_007">
              <w:r>
                <w:rPr>
                  <w:rStyle w:val="InternetLink"/>
                </w:rPr>
                <w:t>DESCRIPTION OF CAPITAL STOCK</w:t>
              </w:r>
            </w:hyperlink>
          </w:p>
        </w:tc>
        <w:tc>
          <w:tcPr>
            <w:tcW w:w="275" w:type="dxa"/>
            <w:tcBorders/>
            <w:shd w:fill="CCEEFF" w:val="clear"/>
            <w:vAlign w:val="center"/>
          </w:tcPr>
          <w:p>
            <w:pPr>
              <w:pStyle w:val="TableContents"/>
              <w:bidi w:val="0"/>
              <w:spacing w:before="0" w:after="283"/>
              <w:ind w:left="0" w:right="0" w:hanging="720"/>
              <w:jc w:val="center"/>
              <w:rPr/>
            </w:pPr>
            <w:r>
              <w:rPr/>
              <w:t>5</w:t>
            </w:r>
          </w:p>
        </w:tc>
      </w:tr>
      <w:tr>
        <w:trPr/>
        <w:tc>
          <w:tcPr>
            <w:tcW w:w="8045" w:type="dxa"/>
            <w:tcBorders/>
            <w:shd w:fill="FFFFFF" w:val="clear"/>
            <w:vAlign w:val="center"/>
          </w:tcPr>
          <w:p>
            <w:pPr>
              <w:pStyle w:val="TableContents"/>
              <w:bidi w:val="0"/>
              <w:spacing w:before="0" w:after="283"/>
              <w:jc w:val="left"/>
              <w:rPr/>
            </w:pPr>
            <w:hyperlink w:anchor="a_008">
              <w:r>
                <w:rPr>
                  <w:rStyle w:val="InternetLink"/>
                </w:rPr>
                <w:t>DESCRIPTION OF DEBT SECURITIES</w:t>
              </w:r>
            </w:hyperlink>
          </w:p>
        </w:tc>
        <w:tc>
          <w:tcPr>
            <w:tcW w:w="275" w:type="dxa"/>
            <w:tcBorders/>
            <w:shd w:fill="FFFFFF" w:val="clear"/>
            <w:vAlign w:val="center"/>
          </w:tcPr>
          <w:p>
            <w:pPr>
              <w:pStyle w:val="TableContents"/>
              <w:bidi w:val="0"/>
              <w:spacing w:before="0" w:after="283"/>
              <w:ind w:left="0" w:right="0" w:hanging="720"/>
              <w:jc w:val="center"/>
              <w:rPr/>
            </w:pPr>
            <w:r>
              <w:rPr/>
              <w:t>13</w:t>
            </w:r>
          </w:p>
        </w:tc>
      </w:tr>
      <w:tr>
        <w:trPr/>
        <w:tc>
          <w:tcPr>
            <w:tcW w:w="8045" w:type="dxa"/>
            <w:tcBorders/>
            <w:shd w:fill="CCEEFF" w:val="clear"/>
            <w:vAlign w:val="center"/>
          </w:tcPr>
          <w:p>
            <w:pPr>
              <w:pStyle w:val="TableContents"/>
              <w:bidi w:val="0"/>
              <w:spacing w:before="0" w:after="283"/>
              <w:jc w:val="left"/>
              <w:rPr/>
            </w:pPr>
            <w:hyperlink w:anchor="m_001">
              <w:r>
                <w:rPr>
                  <w:rStyle w:val="InternetLink"/>
                </w:rPr>
                <w:t>DESCRIPTION OF EXISTING WARRANTS</w:t>
              </w:r>
            </w:hyperlink>
          </w:p>
        </w:tc>
        <w:tc>
          <w:tcPr>
            <w:tcW w:w="275" w:type="dxa"/>
            <w:tcBorders/>
            <w:shd w:fill="CCEEFF" w:val="clear"/>
            <w:vAlign w:val="center"/>
          </w:tcPr>
          <w:p>
            <w:pPr>
              <w:pStyle w:val="TableContents"/>
              <w:bidi w:val="0"/>
              <w:spacing w:before="0" w:after="283"/>
              <w:ind w:left="0" w:right="0" w:hanging="720"/>
              <w:jc w:val="center"/>
              <w:rPr/>
            </w:pPr>
            <w:r>
              <w:rPr/>
              <w:t>15</w:t>
            </w:r>
          </w:p>
        </w:tc>
      </w:tr>
      <w:tr>
        <w:trPr/>
        <w:tc>
          <w:tcPr>
            <w:tcW w:w="8045" w:type="dxa"/>
            <w:tcBorders/>
            <w:shd w:fill="FFFFFF" w:val="clear"/>
            <w:vAlign w:val="center"/>
          </w:tcPr>
          <w:p>
            <w:pPr>
              <w:pStyle w:val="TableContents"/>
              <w:bidi w:val="0"/>
              <w:spacing w:before="0" w:after="283"/>
              <w:jc w:val="left"/>
              <w:rPr/>
            </w:pPr>
            <w:hyperlink w:anchor="a_009">
              <w:r>
                <w:rPr>
                  <w:rStyle w:val="InternetLink"/>
                </w:rPr>
                <w:t>DESCRIPTION OF NEW WARRANTS</w:t>
              </w:r>
            </w:hyperlink>
          </w:p>
        </w:tc>
        <w:tc>
          <w:tcPr>
            <w:tcW w:w="275" w:type="dxa"/>
            <w:tcBorders/>
            <w:shd w:fill="FFFFFF" w:val="clear"/>
            <w:vAlign w:val="center"/>
          </w:tcPr>
          <w:p>
            <w:pPr>
              <w:pStyle w:val="TableContents"/>
              <w:bidi w:val="0"/>
              <w:spacing w:before="0" w:after="283"/>
              <w:ind w:left="0" w:right="0" w:hanging="720"/>
              <w:jc w:val="center"/>
              <w:rPr/>
            </w:pPr>
            <w:r>
              <w:rPr/>
              <w:t>19</w:t>
            </w:r>
          </w:p>
        </w:tc>
      </w:tr>
      <w:tr>
        <w:trPr/>
        <w:tc>
          <w:tcPr>
            <w:tcW w:w="8045" w:type="dxa"/>
            <w:tcBorders/>
            <w:shd w:fill="CCEEFF" w:val="clear"/>
            <w:vAlign w:val="center"/>
          </w:tcPr>
          <w:p>
            <w:pPr>
              <w:pStyle w:val="TableContents"/>
              <w:bidi w:val="0"/>
              <w:spacing w:before="0" w:after="283"/>
              <w:jc w:val="left"/>
              <w:rPr/>
            </w:pPr>
            <w:hyperlink w:anchor="a_010">
              <w:r>
                <w:rPr>
                  <w:rStyle w:val="InternetLink"/>
                </w:rPr>
                <w:t>DESCRIPTION OF SUBSCRIPTION RIGHTS</w:t>
              </w:r>
            </w:hyperlink>
          </w:p>
        </w:tc>
        <w:tc>
          <w:tcPr>
            <w:tcW w:w="275" w:type="dxa"/>
            <w:tcBorders/>
            <w:shd w:fill="CCEEFF" w:val="clear"/>
            <w:vAlign w:val="center"/>
          </w:tcPr>
          <w:p>
            <w:pPr>
              <w:pStyle w:val="TableContents"/>
              <w:bidi w:val="0"/>
              <w:spacing w:before="0" w:after="283"/>
              <w:ind w:left="0" w:right="0" w:hanging="720"/>
              <w:jc w:val="center"/>
              <w:rPr/>
            </w:pPr>
            <w:r>
              <w:rPr/>
              <w:t>20</w:t>
            </w:r>
          </w:p>
        </w:tc>
      </w:tr>
      <w:tr>
        <w:trPr/>
        <w:tc>
          <w:tcPr>
            <w:tcW w:w="8045" w:type="dxa"/>
            <w:tcBorders/>
            <w:shd w:fill="FFFFFF" w:val="clear"/>
            <w:vAlign w:val="center"/>
          </w:tcPr>
          <w:p>
            <w:pPr>
              <w:pStyle w:val="TableContents"/>
              <w:bidi w:val="0"/>
              <w:spacing w:before="0" w:after="283"/>
              <w:jc w:val="left"/>
              <w:rPr/>
            </w:pPr>
            <w:hyperlink w:anchor="a_011">
              <w:r>
                <w:rPr>
                  <w:rStyle w:val="InternetLink"/>
                </w:rPr>
                <w:t>DESCRIPTION OF PURCHASE UNITS</w:t>
              </w:r>
            </w:hyperlink>
          </w:p>
        </w:tc>
        <w:tc>
          <w:tcPr>
            <w:tcW w:w="275" w:type="dxa"/>
            <w:tcBorders/>
            <w:shd w:fill="FFFFFF" w:val="clear"/>
            <w:vAlign w:val="center"/>
          </w:tcPr>
          <w:p>
            <w:pPr>
              <w:pStyle w:val="TableContents"/>
              <w:bidi w:val="0"/>
              <w:spacing w:before="0" w:after="283"/>
              <w:ind w:left="0" w:right="0" w:hanging="720"/>
              <w:jc w:val="center"/>
              <w:rPr/>
            </w:pPr>
            <w:r>
              <w:rPr/>
              <w:t>21</w:t>
            </w:r>
          </w:p>
        </w:tc>
      </w:tr>
      <w:tr>
        <w:trPr/>
        <w:tc>
          <w:tcPr>
            <w:tcW w:w="8045" w:type="dxa"/>
            <w:tcBorders/>
            <w:shd w:fill="CCEEFF" w:val="clear"/>
            <w:vAlign w:val="center"/>
          </w:tcPr>
          <w:p>
            <w:pPr>
              <w:pStyle w:val="TableContents"/>
              <w:bidi w:val="0"/>
              <w:spacing w:before="0" w:after="283"/>
              <w:jc w:val="left"/>
              <w:rPr/>
            </w:pPr>
            <w:hyperlink w:anchor="a_012">
              <w:r>
                <w:rPr>
                  <w:rStyle w:val="InternetLink"/>
                </w:rPr>
                <w:t>SELLING SECURITYHOLDERS</w:t>
              </w:r>
            </w:hyperlink>
          </w:p>
        </w:tc>
        <w:tc>
          <w:tcPr>
            <w:tcW w:w="275" w:type="dxa"/>
            <w:tcBorders/>
            <w:shd w:fill="CCEEFF" w:val="clear"/>
            <w:vAlign w:val="center"/>
          </w:tcPr>
          <w:p>
            <w:pPr>
              <w:pStyle w:val="TableContents"/>
              <w:bidi w:val="0"/>
              <w:spacing w:before="0" w:after="283"/>
              <w:ind w:left="0" w:right="0" w:hanging="720"/>
              <w:jc w:val="center"/>
              <w:rPr/>
            </w:pPr>
            <w:r>
              <w:rPr/>
              <w:t>22</w:t>
            </w:r>
          </w:p>
        </w:tc>
      </w:tr>
      <w:tr>
        <w:trPr/>
        <w:tc>
          <w:tcPr>
            <w:tcW w:w="8045" w:type="dxa"/>
            <w:tcBorders/>
            <w:shd w:fill="FFFFFF" w:val="clear"/>
            <w:vAlign w:val="center"/>
          </w:tcPr>
          <w:p>
            <w:pPr>
              <w:pStyle w:val="TableContents"/>
              <w:bidi w:val="0"/>
              <w:spacing w:before="0" w:after="283"/>
              <w:jc w:val="left"/>
              <w:rPr/>
            </w:pPr>
            <w:hyperlink w:anchor="a_013">
              <w:r>
                <w:rPr>
                  <w:rStyle w:val="InternetLink"/>
                </w:rPr>
                <w:t>PLAN OF DISTRIBUTION</w:t>
              </w:r>
            </w:hyperlink>
          </w:p>
        </w:tc>
        <w:tc>
          <w:tcPr>
            <w:tcW w:w="275" w:type="dxa"/>
            <w:tcBorders/>
            <w:shd w:fill="FFFFFF" w:val="clear"/>
            <w:vAlign w:val="center"/>
          </w:tcPr>
          <w:p>
            <w:pPr>
              <w:pStyle w:val="TableContents"/>
              <w:bidi w:val="0"/>
              <w:spacing w:before="0" w:after="283"/>
              <w:ind w:left="0" w:right="0" w:hanging="720"/>
              <w:jc w:val="center"/>
              <w:rPr/>
            </w:pPr>
            <w:r>
              <w:rPr/>
              <w:t>23</w:t>
            </w:r>
          </w:p>
        </w:tc>
      </w:tr>
      <w:tr>
        <w:trPr/>
        <w:tc>
          <w:tcPr>
            <w:tcW w:w="8045" w:type="dxa"/>
            <w:tcBorders/>
            <w:shd w:fill="CCEEFF" w:val="clear"/>
            <w:vAlign w:val="center"/>
          </w:tcPr>
          <w:p>
            <w:pPr>
              <w:pStyle w:val="TableContents"/>
              <w:bidi w:val="0"/>
              <w:spacing w:before="0" w:after="283"/>
              <w:jc w:val="left"/>
              <w:rPr/>
            </w:pPr>
            <w:hyperlink w:anchor="a_014">
              <w:r>
                <w:rPr>
                  <w:rStyle w:val="InternetLink"/>
                </w:rPr>
                <w:t>LEGAL MATTERS</w:t>
              </w:r>
            </w:hyperlink>
          </w:p>
        </w:tc>
        <w:tc>
          <w:tcPr>
            <w:tcW w:w="275" w:type="dxa"/>
            <w:tcBorders/>
            <w:shd w:fill="CCEEFF" w:val="clear"/>
            <w:vAlign w:val="center"/>
          </w:tcPr>
          <w:p>
            <w:pPr>
              <w:pStyle w:val="TableContents"/>
              <w:bidi w:val="0"/>
              <w:spacing w:before="0" w:after="283"/>
              <w:ind w:left="0" w:right="0" w:hanging="720"/>
              <w:jc w:val="center"/>
              <w:rPr/>
            </w:pPr>
            <w:r>
              <w:rPr/>
              <w:t>24</w:t>
            </w:r>
          </w:p>
        </w:tc>
      </w:tr>
      <w:tr>
        <w:trPr/>
        <w:tc>
          <w:tcPr>
            <w:tcW w:w="8045" w:type="dxa"/>
            <w:tcBorders/>
            <w:shd w:fill="FFFFFF" w:val="clear"/>
            <w:vAlign w:val="center"/>
          </w:tcPr>
          <w:p>
            <w:pPr>
              <w:pStyle w:val="TableContents"/>
              <w:bidi w:val="0"/>
              <w:spacing w:before="0" w:after="283"/>
              <w:jc w:val="left"/>
              <w:rPr/>
            </w:pPr>
            <w:hyperlink w:anchor="a_015">
              <w:r>
                <w:rPr>
                  <w:rStyle w:val="InternetLink"/>
                </w:rPr>
                <w:t>EXPERTS</w:t>
              </w:r>
            </w:hyperlink>
          </w:p>
        </w:tc>
        <w:tc>
          <w:tcPr>
            <w:tcW w:w="275" w:type="dxa"/>
            <w:tcBorders/>
            <w:shd w:fill="FFFFFF" w:val="clear"/>
            <w:vAlign w:val="center"/>
          </w:tcPr>
          <w:p>
            <w:pPr>
              <w:pStyle w:val="TableContents"/>
              <w:bidi w:val="0"/>
              <w:spacing w:before="0" w:after="283"/>
              <w:ind w:left="0" w:right="0" w:hanging="720"/>
              <w:jc w:val="center"/>
              <w:rPr/>
            </w:pPr>
            <w:r>
              <w:rPr/>
              <w:t>25</w:t>
            </w:r>
          </w:p>
        </w:tc>
      </w:tr>
      <w:tr>
        <w:trPr/>
        <w:tc>
          <w:tcPr>
            <w:tcW w:w="8045" w:type="dxa"/>
            <w:tcBorders/>
            <w:shd w:fill="CCEEFF" w:val="clear"/>
            <w:vAlign w:val="center"/>
          </w:tcPr>
          <w:p>
            <w:pPr>
              <w:pStyle w:val="TableContents"/>
              <w:bidi w:val="0"/>
              <w:spacing w:before="0" w:after="283"/>
              <w:jc w:val="left"/>
              <w:rPr/>
            </w:pPr>
            <w:hyperlink w:anchor="a_016">
              <w:r>
                <w:rPr>
                  <w:rStyle w:val="InternetLink"/>
                </w:rPr>
                <w:t>WHERE YOU CAN FIND MORE INFORMATION</w:t>
              </w:r>
            </w:hyperlink>
          </w:p>
        </w:tc>
        <w:tc>
          <w:tcPr>
            <w:tcW w:w="275" w:type="dxa"/>
            <w:tcBorders/>
            <w:shd w:fill="CCEEFF" w:val="clear"/>
            <w:vAlign w:val="center"/>
          </w:tcPr>
          <w:p>
            <w:pPr>
              <w:pStyle w:val="TableContents"/>
              <w:bidi w:val="0"/>
              <w:spacing w:before="0" w:after="283"/>
              <w:ind w:left="0" w:right="0" w:hanging="720"/>
              <w:jc w:val="center"/>
              <w:rPr/>
            </w:pPr>
            <w:r>
              <w:rPr/>
              <w:t>26</w:t>
            </w:r>
          </w:p>
        </w:tc>
      </w:tr>
      <w:tr>
        <w:trPr/>
        <w:tc>
          <w:tcPr>
            <w:tcW w:w="8045" w:type="dxa"/>
            <w:tcBorders/>
            <w:shd w:fill="FFFFFF" w:val="clear"/>
            <w:vAlign w:val="center"/>
          </w:tcPr>
          <w:p>
            <w:pPr>
              <w:pStyle w:val="TableContents"/>
              <w:bidi w:val="0"/>
              <w:spacing w:before="0" w:after="283"/>
              <w:jc w:val="left"/>
              <w:rPr/>
            </w:pPr>
            <w:hyperlink w:anchor="a_017">
              <w:r>
                <w:rPr>
                  <w:rStyle w:val="InternetLink"/>
                </w:rPr>
                <w:t>INCORPORATION OF CERTAIN DOCUMENTS BY REFERENCE</w:t>
              </w:r>
            </w:hyperlink>
          </w:p>
        </w:tc>
        <w:tc>
          <w:tcPr>
            <w:tcW w:w="275" w:type="dxa"/>
            <w:tcBorders/>
            <w:shd w:fill="FFFFFF" w:val="clear"/>
            <w:vAlign w:val="center"/>
          </w:tcPr>
          <w:p>
            <w:pPr>
              <w:pStyle w:val="TableContents"/>
              <w:bidi w:val="0"/>
              <w:spacing w:before="0" w:after="283"/>
              <w:jc w:val="center"/>
              <w:rPr/>
            </w:pPr>
            <w:r>
              <w:rPr/>
              <w:t>27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01"/>
      <w:bookmarkEnd w:id="14"/>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an automatic registration statement on Form S-3 that we are filing with the SEC utilizing a “shelf” registration process as a “well-known seasoned issuer,” as defined in Rule 405 under the Securities Act of 1933, as amended (the “Securities Act”). Under this shelf registration process, we or selling securityholders may offer and sell, in one or more offerings, together or separately, the securities described in this prospectus. There is no limit on the aggregate number or amount of securities we may sell pursuant to the registration statement of which this prospectus is a part. This prospectus provides you with a general description of the securities we or selling securityholders may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or selling securityholders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If there is any inconsistency between the information in this prospectus and any applicable prospectus supplement or free writing prospectus, you should rely on the prospectus supplement or free writing prospectus, as applicable; provided that,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 We urge you to read carefully this prospectus, any applicable prospectus supplement and any free writing prospectuses we may authorize for use in connection with a specific offering, together with the information incorporated herein by reference as described under the sections titled “Where You Can Find More Information” and “Incorporation of Certain Documents by Reference,” before buying any of the securities being offered.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into, this prospectus and any applicable prospectus supplement, along with the information contained in any related free writing prospectuses we have authorized for use in connection with a specific offering. Neither we nor any selling securityholder has authorized any other person to provide you with different or additional information. If anyone provides you with different or inconsistent information, you should not rely on it. Neither we nor any selling securityholder takes responsibility for, and can provide no assurance as to the reliability of, any other information that others may give you. This prospectus is an offer to sell only the securities offered hereby, but only under circumstances and in jurisdictions where it is lawful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appearing in this prospectus, any applicable prospectus supplement and any related free writing prospectus that we may authorize for use in connection with this offering is accurate only as of the date on the front of such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information incorporated by reference herein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unless otherwise stated or unless the context otherwise requires: references to the “Company,” “T1 Energy,” the “registrant,” “we,” “our,” “us” and similar terms are to T1 Energy Inc., a Delaware corporation, and where appropriate, its wholly-owned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02"/>
      <w:bookmarkEnd w:id="15"/>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accompanying prospectus supplement, including the information and documents incorporated by reference herein and therein, contain forward-looking statements within the meaning of Section 27A of the Securities Act and Section 21E of the Securities Exchange Act of 1934, as amended (the “Exchange Act”). All statements other than statements of historical or current facts contained or incorporated by reference in this prospectus or any accompanying prospectus supplement may be forward-looking statements. Statements regarding our future results and timing of operations, expected performance and financial position, business strategy and plans and objectives of management for future operations, including, among others, statements regarding expected results and benefits arising from the business combination with Trina Solar (Schweiz) AG (“Trina”), liquidity, growth and profitability strategies and factors and trends affecting our business are forward-looking statements. Forward-looking statements can be identified in some cases by the use of words such as “believe,” “can,” “could,” “potential,” “plan,” “predict,” “goals,” “seek,” “should,” “may,” “may have,” “would,” “estimate,” “continue,” “anticipate,” “intend,” “expect,” or the negative of these words, other similar expressions or by discussions of strategy, plans or intentions.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or incorporated by reference in this prospectus and any accompanying prospectus supplement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or industry results, to be materially different from any future results, performance or achievements expressed or implied by the forward-looking statements. We believe that these factors include, but are not limited to, the factors set forth under the heading “Risk Factors” in our most recent Annual Report on Form 10-K and in our subsequent Quarterly Reports on Form 10-Q. These factors include, but are not limited to, risks related to: (1) our ability to (i) construct and equip manufacturing facilities in a timely and cost-effective manner; (ii) target and retain customers and suppliers; (iii) attract and retain key employees and qualified personnel; (iv) protect our intellectual property; (v) comply with legal and environmental regulations; (vi) compete in international markets in light of export and import controls; (vii) incur substantially more debt; and (viii) remediate the material weakness in our internal control over financial reporting or otherwise maintain effective internal control over financial reporting; (2) the concentration of our operations in Texas and our dependence on a limited number of suppliers; (3) changes adversely affecting the flow of components and materials from international vendors, the costs of raw materials, components, equipment, and machinery; (4) general economic and geopolitical conditions, changes in applicable laws or regulations, including environmental, export control and tax laws and incentives and renewable energy targets, as well as international trade policies, including tariffs, on our products and our competitive position; (5) the outcome of any legal proceedings relating to our products and services, including intellectual property or product liability claims, commercial or contractual disputes, warranty claims, and other proceedings; and (6) the capital-intensive nature of our business and our ability to raise additional capital on attractive terms or service our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on information available to us as of the date of this prospectus or any accompanying prospectus supplement, or the documents incorporated by reference herein or therein, and while we believe such information provides a reasonable basis for these statements, and our management is responsible for the accuracy of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on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any accompanying prospectus supplement, and the documents incorporated by reference herein and therein, with the understanding that our actual future results, levels of activity, performance and achievements may be materially different from what we expect. All forward-looking statements attributable to us or persons acting on our behalf are expressly qualified in their entirety by these cautionary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speak only as of the date of this prospectus or, in the case of the accompanying prospectus supplement or the documents incorporated by reference herein or therein, the date of any such document. Except as required by applicable law, we do not plan to publicly update or revise any forward-looking statement, whether as a result of any new information, future events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03"/>
      <w:bookmarkEnd w:id="16"/>
      <w:r>
        <w:rPr>
          <w:rFonts w:ascii="Times New Roman;Times;Serif" w:hAnsi="Times New Roman;Times;Serif"/>
          <w:b/>
          <w:i w:val="false"/>
          <w:caps w:val="false"/>
          <w:smallCaps w:val="false"/>
          <w:sz w:val="20"/>
        </w:rPr>
        <w:t>OUR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is an energy solutions provider building an integrated U.S. supply chain for solar and batteries. We manufacture and sell photovoltaic (“PV”) solar modules in the United States for our U.S.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one of the leading solar manufacturing companies in the United States. Our PV solar module manufacturing facility in Wilmer, TX is operating and has an installed base of five gigawatts per annum. We believe our facility is one of the most technologically advanced PV solar module plants globally. T1 Energy produces PV solar modules that employ highly energy efficient Passivated Emitter and Rear Contact and Tunnel Oxide Passivated Contact technologies. We believe the superior performance characteristics of the PV solar modules that we manufacture and our domestic content will competitively differentiate T1 Energy in the U.S.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executing a phased development of the G2_Austin solar cell facility in Rockdale, Texas, which is expected to begin producing cells by the end of 2026, and create up to 1,800 full-time jobs.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mailing address of our registered and principal executive office is 1211 E 4th St. Austin, Texas 78702. The telephone number of our registered and principal executive office is 409-599-5706. Our investor relations website is located at </w:t>
      </w:r>
      <w:r>
        <w:rPr>
          <w:rFonts w:ascii="Times New Roman;Times;Serif" w:hAnsi="Times New Roman;Times;Serif"/>
          <w:b w:val="false"/>
          <w:i/>
          <w:caps w:val="false"/>
          <w:smallCaps w:val="false"/>
          <w:sz w:val="20"/>
        </w:rPr>
        <w:t>https://ir.t1energy.com/</w:t>
      </w:r>
      <w:r>
        <w:rPr>
          <w:rFonts w:ascii="Times New Roman;Times;Serif" w:hAnsi="Times New Roman;Times;Serif"/>
          <w:b w:val="false"/>
          <w:i w:val="false"/>
          <w:caps w:val="false"/>
          <w:smallCaps w:val="false"/>
          <w:sz w:val="20"/>
        </w:rPr>
        <w:t>, and its news site located at </w:t>
      </w:r>
      <w:r>
        <w:rPr>
          <w:rFonts w:ascii="Times New Roman;Times;Serif" w:hAnsi="Times New Roman;Times;Serif"/>
          <w:b w:val="false"/>
          <w:i/>
          <w:caps w:val="false"/>
          <w:smallCaps w:val="false"/>
          <w:sz w:val="20"/>
        </w:rPr>
        <w:t>https://ir.t1energy.com/news-releases/news-releases</w:t>
      </w:r>
      <w:r>
        <w:rPr>
          <w:rFonts w:ascii="Times New Roman;Times;Serif" w:hAnsi="Times New Roman;Times;Serif"/>
          <w:b w:val="false"/>
          <w:i w:val="false"/>
          <w:caps w:val="false"/>
          <w:smallCaps w:val="false"/>
          <w:sz w:val="20"/>
        </w:rPr>
        <w:t>, our X (f/k/a Twitter) account is located at https://x.com/T1_Energy, our LinkedIn account is located at https://www.linkedin.com/company/t1energy, and our Instagram account is located at https://www.instagram.com/t1_energy/. We use our investor relations website, our X account and our LinkedIn account as well as Daniel Barcelo’s X account (https://x.com/_danielbarcelo), LinkedIn account (https://www.linkedin.com/in/daniel-barcelo-b262a939/) and Instagram account (</w:t>
      </w:r>
      <w:r>
        <w:rPr>
          <w:rFonts w:ascii="Times New Roman;Times;Serif" w:hAnsi="Times New Roman;Times;Serif"/>
          <w:b w:val="false"/>
          <w:i/>
          <w:caps w:val="false"/>
          <w:smallCaps w:val="false"/>
          <w:sz w:val="20"/>
        </w:rPr>
        <w:t>https://www.instagram.com/danbarcelo/</w:t>
      </w:r>
      <w:r>
        <w:rPr>
          <w:rFonts w:ascii="Times New Roman;Times;Serif" w:hAnsi="Times New Roman;Times;Serif"/>
          <w:b w:val="false"/>
          <w:i w:val="false"/>
          <w:caps w:val="false"/>
          <w:smallCaps w:val="false"/>
          <w:sz w:val="20"/>
        </w:rPr>
        <w:t>)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our X account and our LinkedIn account, in addition to following press releases, SEC filings and public conference calls and webcasts. Our website, X account and our LinkedIn account, and the information contained therein, or that can be accessed through the website, is not deemed to be incorporated by reference in, and is not considered part of, this prospectus or any accompanying prospectus supplement, and you should not consider it a part of this prospectus or any accompanying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04"/>
      <w:bookmarkEnd w:id="17"/>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risks. Before you decide whether to purchase any of our securities, in addition to the other information, documents or reports included or incorporated by reference into this prospectus and any accompanying prospectus supplement or other offering materials (including any free writing prospectus), you should carefully consider the risk factors described in the section titled “Risk Factors” in any prospectus supplement or free writing prospectus, our most recent Annual Report on Form 10-K, any Quarterly Reports on Form 10-Q and Current Reports on Form 8-K filed subsequent to such Annual Report on Form 10-K, each of which is incorporated by reference into this prospectus and any accompanying prospectus supplement in its entirety, and as the same may be amended, supplemented or superseded from time to time by our filings under the Exchange Act. For more information, see the sections titled “Where You Can Find Additional Information” and “Incorporation of Certain Documents by Reference” of this prospectus. These risks could materially and adversely affect our business, financial condition or operating results and could result in a partial or complete loss of your investment. Furthermore, additional risks and uncertainties not presently known to us, or that we currently deem immaterial, may also affect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05"/>
      <w:bookmarkEnd w:id="18"/>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We intend to use the net proceeds from the sale of the securities as set forth in the applicable prospectus supplement. </w:t>
      </w:r>
      <w:r>
        <w:rPr>
          <w:rFonts w:ascii="Times New Roman;Times;Serif" w:hAnsi="Times New Roman;Times;Serif"/>
          <w:b w:val="false"/>
          <w:i w:val="false"/>
          <w:caps w:val="false"/>
          <w:smallCaps w:val="false"/>
          <w:sz w:val="20"/>
        </w:rPr>
        <w:t>Unless otherwise set forth in a prospectus supplement, we will not receive any proceeds in connection with any sale of securities by a selling securityholder.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06"/>
      <w:bookmarkEnd w:id="19"/>
      <w:r>
        <w:rPr>
          <w:rFonts w:ascii="Times New Roman;Times;Serif" w:hAnsi="Times New Roman;Times;Serif"/>
          <w:b/>
          <w:i w:val="false"/>
          <w:caps w:val="false"/>
          <w:smallCaps w:val="false"/>
          <w:sz w:val="20"/>
        </w:rPr>
        <w:t>DESCRIPTION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summary descriptions of the securities we or selling securityholders may offer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07"/>
      <w:bookmarkEnd w:id="20"/>
      <w:r>
        <w:rPr>
          <w:rFonts w:ascii="Times New Roman;Times;Serif" w:hAnsi="Times New Roman;Times;Serif"/>
          <w:b/>
          <w:i w:val="false"/>
          <w:caps w:val="false"/>
          <w:smallCaps w:val="false"/>
          <w:sz w:val="20"/>
        </w:rPr>
        <w:t>DESCRIPTION OF CAPITAL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summary of the material terms of the Company’s securities and is not intended to be a complete summary of the rights and preferences of such securities. The Company’s Amended and Restated Certificate of Incorporation, as amended (the “Certificate of Incorporation”), and Third Amended and Restated Bylaws (the “Bylaws”) are incorporated by reference into this prospectus. Read the applicable provisions of Delaware law, the Certificate of Incorporation, the Bylaws and the Certificates of Designations (as defined herein) in their entirety for a complete description of the rights and preferences of the Company’s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Share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T1 Energy’s authorized capital stock consists of (i) 500,000,000 shares of common stock, par value $0.01 per share (the “common stock”), and (ii) 10,000,000 shares of preferred stock, par value $0.01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Subject to prior dividend rights of the holders of any preferred stock of T1 Energy and any other class or series of shares having a preference as to dividends over common stock, holders of shares of common stock are entitled to receive dividends when, as and if declared by the T1 Energy board of directors, out of funds legally available for that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Each outstanding share of common stock is entitled to one vote per share on each matter to be voted on by the holders of common stock. The holders of common stock are not entitled to cumulative voting of their shares in elections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Rights.</w:t>
      </w:r>
      <w:r>
        <w:rPr>
          <w:rFonts w:ascii="Times New Roman;Times;Serif" w:hAnsi="Times New Roman;Times;Serif"/>
          <w:b w:val="false"/>
          <w:i w:val="false"/>
          <w:caps w:val="false"/>
          <w:smallCaps w:val="false"/>
          <w:sz w:val="20"/>
        </w:rPr>
        <w:t xml:space="preserve"> In the event of any liquidation, dissolution or winding up (either voluntary of involuntary) of T1 Energy, the holders of common stock will be entitled to receive the assets and funds of T1 Energy available for distribution in proportion to the number of shares held by them, respectively, without regard to class, after payments to creditors and subject to any related preferential rights of any holders of any preferred stock of T1 Energy that at the time may be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Energy’s common stock is currently listed on the NYSE under the symbol “TE.”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Energy’s Certificate of Incorporation expressly authorizes T1 Energy’s board of directors to provide for the issuance of all or any preferred stock in one or more classes or series, and to fix for each such class or series such voting powers, full or limited, or no voting powers, and such designations, preferences and relative, participating, optional or other special rights and such qualifications, limitations or restrictions thereof, as shall be stated and expressed in the resolution or resolutions adopted by the board of directors providing for the issuance of such class or series, including, without limitation, the authority to provide that any such class or series may be (i) subject to redemption at such time or times and at such price or prices; (ii) entitled to receive dividends (which may be cumulative or non-cumulative) at such rates, on such conditions, and at such times, and payable in preference to, or in such relation to, the dividends payable on any other class or classes or any other series; (iii) entitled to such rights upon the dissolution of, or upon any distribution of the assets of T1 Energy; or (iv) convertible into, or exchangeable for, shares of any other class or classes of stock, or of any other series of the same or any other class or classes of stock, of T1 Energy at such price or prices or at such rates of exchange and with such adjustments; all as may be stated in such resolution or resolutions. The issuance of preferred stock may have the effect of diluting the earnings per share and book value per share of common stock. In addition, the T1 Energy board of directors may issue preferred stock with voting rights or conversion rights that, if exercised, could adversely affect the voting power of the holders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Number and Designation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filed the certificates of designations (the “Certificates of Designations”), designating (i) 1,600,000 shares of our preferred stock as “Series B Convertible Non-Voting Preferred Stock,” par value $0.01 per share, and (ii) 5,000,000 shares of our preferred stock as “Series B-1 Convertible Non-Voting Preferred Stock,” par value $0.01 per share. The number of shares of each such series may be increased or decreased by resolution of the T1 Energy board of directors; provided that no decrease shall reduce the number of shares of the respective series to a number less than that of the shares then outstanding. On October 31, 2025, T1 Energy entered into an Amended and Restated Stock Purchase Agreement (the “Stock Purchase Agreement”) with certain purchasers pursuant to which, in partial consideration for the redemption and cancellation of all then-issued and outstanding shares of T1 Energy’s Convertible Series A Preferred Stock, par value $0.01 per share (the “Series A Preferred Stock”), the purchasers agreed to purchase (i) 21,504,901 shares of common stock and (ii) 1,600,000 shares of T1 Energy’s Series B Convertible Non-Voting Preferred Stock, par value $0.01 per share (the “Series B Preferred Stock”). The purchasers also agreed to purchase 5,000,000 shares of T1 Energy’s Series B-1 Convertible Non-Voting Preferred Stock, par value $0.01 per share (the “Series B-1 Preferred Stock” and together with the Series B Preferred Stock, the “Outstanding Preferred Stock,” which represent all of the shares of preferred stock currently outstanding), at a price of $10.00 per share of Series B-1 Preferred Stock, for aggregate gross proceeds to T1 Energy of $50.0 million. The shares of Outstanding Preferred Stock have all of the rights, preferences and privileges set forth below and as more fully described in the Certificates of Designations.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Ranking; Liquidation Preference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Preferred Stock issued under the Stock Purchase Agreement ranks senior to the common stock but junior to all existing and future debt obligations of T1 Energy and has a liquidation preference equal to $10.00 per share of Outstanding Preferred Stock plus accrued but unpaid 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voluntary or involuntary liquidation, subject to the rights of holders of any senior securities and after satisfaction of all liabilities and obligations to creditors of T1 Energy, before any distribution is made to holders of shares of junior securities, the holders of the Outstanding Preferred Stock will be entitled to receive liquidating distributions in the amount that is the greater of (i) the aggregate liquidation preference per share of Outstanding Preferred Stock and (ii) the amount of cash to which a holder would be entitled to receive in a liquidation with respect to such shares if they had been converted to common stock immediately prior to such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then-issued Series B Preferred Stock shall be convertible, at the option of the holders thereof, into shares of common stock (the “Underlying Shares”), up to an aggregate of 9,411,764 shares of common stock, in whole and not in part (subject to certain exceptions set forth in the Series B Certificate of Designations), based on a conversion price of $1.70 per share of common stock, assuming no accrued and unpaid 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then-issued Series B-1 Preferred Stock shall be convertible, at the option of the holders thereof, into Underlying Shares, up to an aggregate of 26,315,789 shares of common stock, in whole and not in part (subject to certain exceptions set forth in the Series B-1 Certificate of Designations), based on the conversion price of $1.90 per share of common stock if the 10-Day VWAP (as defined in the Series B-1 Certificate of Designations) of the common stock immediately prior to the conversion date is $2.50 or more per share of common stock (being the greater of the conversion prices for the Series B-1 Preferred Stock), and assuming no accrued and unpaid dividends; the conversion price of the Series B-1 Preferred Stock will be reduced to $1.70 per share of common stock in the event that the 10-Day VWAP of the common stock immediately prior to the conversion date is less than $2.50 per share of common stock. Upon such reduction of the conversion price, each share of the then-issued Series B-1 Preferred Stock will be convertible into approximately 5.88 shares of common stock, up to an aggregate of approximately 29,411,764 shares of common stock, in whole and not in part (subject to certain exceptions set forth in the Series B-1 Certificate of Designations), based on the reduced conversion price (subject to dilution adjustments), and holders can expect to receive additional Underlying Shares as compared to the conversion price of $1.90 for the Series B-1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between the date of the Series B-1 Certificate of Designations and one year following the issuance of the Series B-1 Preferred Stock, T1 Energy issues any shares of any series of preferred stock with a conversion price for converting shares of such series of preferred stock into shares of common stock that is lower than the then applicable Series B-1 Conversion Price (such lower conversion price being referred to as the “Lower Conversion Price”) the Series B-1 Conversion Price shall automatically be adjusted to equal the Lower Conversion Price; provided, however, that in no event shall the Lower Conversion Price be adjusted to an amount below $1.05.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case of a stock split or similar event effected by T1 Energy, the conversion price shall be proportionally decreased so that the number of shares of common stock issuable on conversion of each share of such series shall be increased in proportion to such increase in the aggregate number of shares of common stock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Outstanding Preferred Stock is prohibited from converting shares of Outstanding Preferred Stock into shares of common stock if, as a result of such conversion, such holder, together with its affiliates, would beneficially own more than 19.99% of the total number of shares of common stock issued and outstanding immediately after giving effect to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of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change of control event in which T1 Energy is not the surviving or resulting corporation, the holders of Outstanding Preferred Stock will be entitled to receive the greater of: (i) the aggregate liquidation preference of the Outstanding Preferred Stock outstanding, including any accrued and unpaid dividends thereon to the closing date of the change of control event, and (ii) the amount of consideration that would be payable or issuable in such change of control transaction to a holder of the number of shares of common stock into which the shares of Outstanding Preferred Stock are convertible by their terms as of the closing date of the change of control event, provided that the holders will receive the same form of consideration to be received by holders of common stock in such change of control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 Preferred Stock has a maturity date of December 23, 2027 (the “Series B Maturity Date”). On the Series B Maturity Date, T1 Energy shall redeem the then-outstanding Series B Preferred Stock at $10.00 per share (up to an aggregate amount of $16.0 million assuming all shares of Series B Preferred Stock are fully issued and outstanding at the time of redemption) plus any accrued and unpaid dividends. Prior to the Series B Maturity Date, the Series B Preferred Stock will not be redeemable. In any case of redemption of shares of Series B Preferred Stock, T1 Energy shall, not less than 30 nor more than 60 days before the Series B Maturity Date, send to each holder notice of its intention to redeem such shares of Series B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B-1 Preferred Stock has a maturity date of December 23, 2027 (the “Series B-1 Maturity Date”). On the Series B-1 Maturity Date, T1 Energy shall redeem the then-outstanding Preferred Stock at $10.00 per share (up to an aggregate amount of $50.0 million assuming all shares of Series B-1 Preferred Stock are fully issued and outstanding at the time of redemption) plus any accrued and unpaid dividends. Prior to the Series B-1 Maturity Date, the Series B-1 Preferred Stock will not be redeemable. In any case of redemption of shares of Series B-1 Preferred Stock, T1 Energy shall, not less than 30 nor more than 60 days before the Series B-1 Maturity Date, send to each holder notice of its intention to redeem such shares of Series B-1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Preferred Stock is not subject to any restriction on the repurchase or redemption of shares T1 Energy due to an arrearage in the payment of dividends or sinking fund installments.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Preferred Stock carries a dividend rate of 6%, accruing on their issuance and payable in arrears (i) on the dividend date 18 months after their issuance (ii) every six months after such dividend payment date. Dividends may be payable in cash, securities or other property as may be determined by T1 Energy’s board of directors or any of its duly authorized committees. Any dividends will be paid net of any required withholding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customary representations and warranties, closing conditions and terms were included in the Stock Purchase Agreement and the Certificates of Designations.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Ownership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7701(a)(51)(E)(iii) of the Internal Revenue Code of 1986, as amended (the “Code”), an entity that is a publicly traded company or a subsidiary of a publicly traded company is a foreign-influenced entity if, during the taxable year, one or more Specified Foreign Entities that are each required to report their beneficial ownership under Rule 13d-3 of the Exchange Act own, in the aggregate, not less than 40% of such entity (the “Aggregated Equity Test”).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T1 Energy’s Certificate of Incorporation was amended to establish a restriction of ownership of T1 Energy’s capital stock by Specified Foreign Entities in order to ensure ongoing compliance with the Aggregated Equity Test. Under T1 Energy’s Certificate of Incorporation (as so amended), Specified Foreign Entities are not permitted to hold 4.9% or more of the outstanding shares representing T1 Energy’s common stock or preferred stock, unless permitted by T1 Energy’s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T1 Energy is authorized to effect any and all measures and to make any and all determinations reasonably necessary or desirable (consistent with applicable laws, the Certificate of Incorporation and the Bylaws) to, without limitation:</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require the owner(s) of shares of T1 Energy’s common stock or preferred stock to confirm and/or provide evidence that he, she or it is not a Specified Foreign Entity and suspend voting, dividend and other distribution rights with respect to any shares held by such owner(s) until such confirmation and/or evidence is received;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maintain the share transfer records of T1 Energy in such a manner so that the percentage of any class of shares of T1 Energy’s common stock or preferred stock that is owned by Specified Foreign Entities can be determined and confirmed;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obtain, as a condition precedent to the transfer on the records of T1 Energy, representations, citizenship certificates and/or other evidence as to the identity and citizenship status from all transferees (and from any recipient upon original issuance) of any shares and, if such transferee (or recipient) is acting as a fiduciary or nominee for another owner, such other owner, and the registration of transfer (or original issuance) shall be denied upon refusal of such transferee (or recipient) to make such representations and/or furnish such citizenship certificates or other evidence.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transfer of T1 Energy’s common or preferred stock that does not comply with the Certificate of Incorporation will be void and ineffective as against T1 Energy.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“Specified Foreign Entity” or “Specified Foreign Entities” means a specified foreign entity, as defined in Section 7701(a)(51)(B) of the Code and any guidance published thereunder (including, for the avoidance of doubt, any foreign-controlled entity, as defined in Section 7701(a)(51)(C) of the Code and any guidance published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has entered into a registration rights agreement with Trina pursuant to which we granted Trina certain registration rights with respect to the shares of common stock that are owned by Trina.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Stock Purchase Agreement, T1 Energy agreed to provide certain registration rights with respect to the securities issued pursuant to such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T1 Energy’s governing documents and the Delaware General Corporation Law (the “DGCL”) could have the effect of delaying, deferring or discouraging another party from acquiring T1 Energy. These provisions encourage persons considering unsolicited tender offers or other unilateral takeover proposals to negotiate with the T1 Energy board of directors rather than pursue non-negotiated takeover attempts. These provisions include the below summarized items.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DGCL Section 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will be subject to the provisions of Section 203 of the DGCL (“Section 203”). In general, Section 203 prohibits a publicly held Delaware corporation from engaging in a “business combination” with an “interested stockholder” for a period of three years following the date of the transaction in which such person becomes an interested stockholder, unless: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prior to such time the board of directors of the corporation approved either the business combination or the transaction which resulted in the stockholder becoming an interested stockholder;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upon consummation of the transaction which resulted in the stockholder becoming an interested stockholder, the interested stockholder owned at least 85% of the voting share of the corporation outstanding at the time the transaction commenced, excluding for purposes of determining the voting shares outstanding (but not the outstanding voting shares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at or subsequent to such time the business combination is approved by the board of directors and authorized at an annual or special meeting of stockholders, and not by written consent, by the affirmative vote of at least 66 2/3% of the outstanding voting shares which is not owned by the interested stockholder.</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an interested stockholder as any entity or person beneficially owning 15% or more of the outstanding voting shares of T1 Energy and any entity or person affiliated with or controlling or controlled by the entity or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Composition and Powers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Bylaws provide that any director or the entire board of directors may be removed from office at any time, but only by the affirmative vote of the holders of at least a majority in voting power of the issued and outstanding capital stock of T1 Energy entitled to vote in the election of directors. Any director serving on a committee of the board may be removed from such committee at any time by the board of directors. T1 Energy’s board of directors has the power to fix the number of directors by resolution, subject to the requirements of T1 Energy’s governing documents that the T1 Energy board of directors be not fewer than five nor more than 12. Vacancies on the board or any committee resulting from the death, resignation, retirement, disqualification or removal of a director, or from an increase in the number of directors constituting the board or such committee, may be filled only by a majority of the directors then in office, even though less than a quorum, or by a sole remaining director, and the directors chosen in this manner, in the case of the board of directors, will hold office until the next annual election and until a successor is duly elected and qualified, or until his earlier death, resignation, retirement, disqualification or removal and, in the case of any committee of the board, will hold office until a successor is duly appointed by the board of directors or until his earlier death, resignation, retirement, disqualification or removal.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Requirements for Stockholder Proposals and Director Nominations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Bylaws provide that in order for a stockholder to propose business at an annual meeting of stockholders, a stockholder’s notice must be delivered to the secretary at the principal executive offices of T1 Energy no later than the close of business on the 60th day nor earlier than the close of business on the 90th day prior to the first anniversary date of the preceding year’s annual meeting of stockholders; provided, however, that in the event that the annual meeting of stockholders is called for a date that is more than 30 days before or more than 60 days after such anniversary date, notice by the stockholder in order to be timely must be so delivered not earlier than the close of business on the 90th day prior to such annual meeting of stockholders and not later than the close of business on the later of the 60th day prior to such annual meeting of stockholders or, if the first public announcement of the date of such annual meeting of stockholders is less than 100 days prior to the date of such annual meeting of stockholders, the 10th day following the day on which public announcement of the date of such annual meeting of stockholders is first made by T1 Energy.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Bylaws further provide that in order for a stockholder to make a nomination at an annual meeting of stockholders, a stockholder’s notice must be delivered to the secretary at the principal executive offices of T1 Energy (i) in the case of an annual meeting of stockholders, no later than the close of business on the 60th day nor earlier than the close of business on the 90th day prior to the first anniversary date of the preceding year’s annual meeting of stockholders; provided, however, that in the event that the annual meeting of stockholders is called for a date that is more than 30 days before or more than 60 days after such anniversary date, notice by the stockholder in order to be timely must be so delivered not earlier than the close of business on the 90th day prior to such annual meeting of stockholders and not later than the close of business on the later of the 60th day prior to such annual meeting of stockholders or, if the first public announcement of the date of such annual meeting of stockholders is less than 100 days prior to the date of such annual meeting of stockholders, the 10th day following the day on which public announcement of the date of such annual meeting of stockholders is first made by T1 Energy; and (ii) in the case of a special meeting of stockholders called for the purpose of electing directors, not later than the close of business on the 10th day following the day on which notice of the date of the special meeting of stockholders was mailed or public disclosure of the date of the special meeting of stockholders was made, whichever first occurs.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Stockholder Action by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Certificate of Incorporation provides that any action required or permitted to be taken by the stockholders of T1 Energy must be effected at a duly called annual or special meeting of stockholders of T1 Energy, and the ability of the stockholders to consent in writing to the taking of any action is specifically denied.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Meetings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Bylaws provide that special meetings of stockholders, for any purpose or purposes, may be called only by (i) the board of directors, (ii) the chair of the board of directors, if there be one, or (iii) a stockholder, or group of stockholders holding more than 20% of the total voting power of the outstanding shares of the capital stock of T1 Energy issued and outstanding and entitled to vote on the matter for which such special meeting of stockholders is called if such stockholder, or group of stockholders, have dated, signed and delivered to the secretary a written demand for such special meeting of stockholders at least 90 days prior to the proposed date for such special meeting of stockholders, describing each matter of business desired to be brought before the special meeting of stockholders, the reasons for conducting such business, the text of any proposal or business to be considered, and the information required by the notice provisions and of the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Stockholders’ Derivative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share thereafter devolved by operation of law. Unless T1 Energy consents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but Unissued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but unissued shares of our common stock and preferred stock will be available for future issuance without any further vote or action T1 Energy stockholders. These additional shares may be utilized for a variety of corporate purposes, including future public offerings to raise additional capital, corporate acquisitions and employee benefit plans. The existence of authorized but unissued shares of our common stock and preferred stock could render more difficult or discourage an attempt to obtain control over T1 Energy by means of a proxy contest, tender offer, merger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Supermajority Approval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generally provides that the affirmative vote of a majority of the shares entitled to vote thereon is required to amend a corporation’s certificate of incorporation, unless the corporation’s certificate of incorporation or bylaws requires a greater percentage. The DGCL does not specify a required vote for stockholder to amend a corporation’s bylaws and, therefore, the default voting standard set forth in a corporation’s bylaws will apply to votes to amend the bylaws unless the certificate of incorporation or bylaws provide otherwise. In addition, the DGCL provides that a board of directors may amend the bylaws without further stockholder action if authorized to do so by the corporation’s certificate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Energy’s Certificate of Incorporation provides that the affirmative vote of at least a majority of the entire board of directors or the affirmative vote of holders of at least two thirds of the voting power of the shares entitled to vote at an election of directors will be required to adopt, amend, alter, or repeal the bylaws. In addition, T1 Energy’s Certificate of Incorporation provides that the affirmative vote of the holders of at least two thirds of the voting power of the shares entitled to vote at an election of directors will be required to amend, alter, change or repeal, or to adopt any provision as part of the Certificate of Incorporation inconsistent with the purpose and intent of certain provisions of the Certificate of Incorporation, including those governing the limitation of liability of directors, indemnification of directors and officers, stockholders’ action by written consent, the amendment of T1 Energy’s Bylaws by the board of directors, and the required stockholder vote for the amendment of the foregoing provisions. This requirement of a supermajority vote to approve amendments to our bylaws and certificate of incorporation could enable a minority of our stockholders to exercise veto power over any such amendments.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have the effect of deterring hostile takeovers or delaying or preventing changes in control of T1 Energy or its management, such as a merger, reorganization or tender offer. These provisions are intended to enhance the likelihood of continued stability in the composition of the board of directors and its policies and to discourage certain types of transactions that may involve an actual or threatened acquisition of T1 Energy. These provisions are designed to reduce T1 Energy’s vulnerability to an unsolicited acquisition proposal. The provisions are also intended to discourage certain tactics that may be used in proxy fights. However, such provisions could have the effect of discouraging others from making tender offers for T1 Energy’s shares and, as a consequence, they also may inhibit fluctuations in the market price of common stock that could result from actual or rumored takeover attempts. Such provisions may also have the effect of preventing changes in our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Limitation of Personal Liability of Directors/Officers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to the full extent permitted by the DGCL, will limit or eliminate the liability of T1 Energy directors made a party to any proceeding to T1 Energy or its stockholders for monetary damages for breach of fiduciary duty as a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no such elimination of liability is permitted (i) for any breach of the director’s duty of loyalty to T1 Energy or its stockholders, (ii) for acts or omissions not in good faith or which involve intentional misconduct or a knowing violation of law, (iii) for unlawful payment of dividend or unlawful share purchase or redemption or (iv) for any transaction from which the director derived an improper personal benefit.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Forum Selection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Certificate of Incorporation and Bylaws provide that unless T1 Energy consents in writing to the selection of an alternative forum (an “Alternative Forum Consent”), the Court of Chancery of the State of Delaware will be the sole and exclusive forum for (i) any derivative action or proceeding brought on behalf of T1 Energy, (ii) any action asserting a claim of breach of a duty (including any fiduciary duty) owed by any current or former director, officer, stockholder, employee or agent of T1 Energy to T1 Energy or T1 Energy’s stockholders, (iii) any action asserting a claim against T1 Energy or any current or former director, officer, stockholder, employee or agent of T1 Energy arising out of or relating to any provision of the DGCL, the T1 Energy Certificate of Incorporation or Bylaws (each, as in effect from time to time), or (iv) any action asserting a claim against T1 Energy or any current or former director, officer, stockholder, employee or agent of T1 Energy governed by the internal affairs doctrine of the State of Delaware; provided, however, that, in the event that the Court of Chancery of the State of Delaware lacks subject matter jurisdiction over any such action or proceeding, the sole and exclusive forum for such action or proceeding will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T1 Energy gives an Alternative Forum Consent, the federal district courts of the United States of America will, to the fullest extent permitted by law, be the sole and exclusive forum for the resolution of any complaint asserting a cause of action arising under the Securities Act and the Exchange Act. Any person or entity purchasing, otherwise acquiring or holding any interest in shares of capital stock of T1 Energy will be deemed to have notice of and consented to these forum selection provisions. The existence of any prior Alternative Forum Consent will not act as a waiver of T1 Energy’s ongoing consent right with respect to any current or future actions or claims. Our stockholders will not be deemed to have waived our compliance with the federal securities laws and the rules and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Section 27 of the Exchange Act creates exclusive federal jurisdiction over all claims brought to enforce any duty or liability created by the Exchange Act or the rules and regulations thereunder and T1 Energy’s Bylaws provide that the federal district courts of the United States of America will, to the fullest extent permitted by law, be the sole and exclusive forum for resolving any complaint asserting a cause of action arising under the Exchange Act. Accordingly, actions by our stockholders to enforce any duty or liability created by the Exchange Act or the rules and regulations thereunder must be brought in federal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that the forum selection clause in T1 Energy’s Certificate of Incorporation and Bylaws may impose additional litigation costs on stockholders in pursuing any such claims, particularly if the stockholders do not reside in or near the State of Delaware. Additionally, the forum selection clause in T1 Energy’s Certificate of Incorporation and Bylaws may limit our stockholders’ ability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to our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capital stock is Continental Stock Transfer &amp; Trust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08"/>
      <w:bookmarkEnd w:id="21"/>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debt securities in one or more series, which may be senior debt securities or subordinated debt securities and which may be convertible into another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the indenture, dated as of December 16, 2025 (the “indenture”), between us and U.S. Bank Trust Company, National Association, as trustee. A copy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title and aggregate principal amount of the debt securities and any limit on the aggregate principal amount of such series;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3"/>
        <w:gridCol w:w="9921"/>
      </w:tblGrid>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both"/>
              <w:rPr/>
            </w:pPr>
            <w:r>
              <w:rPr/>
              <w:t>●</w:t>
            </w:r>
          </w:p>
        </w:tc>
        <w:tc>
          <w:tcPr>
            <w:tcW w:w="9921" w:type="dxa"/>
            <w:tcBorders/>
            <w:vAlign w:val="center"/>
          </w:tcPr>
          <w:p>
            <w:pPr>
              <w:pStyle w:val="TableContents"/>
              <w:bidi w:val="0"/>
              <w:spacing w:before="0" w:after="283"/>
              <w:jc w:val="both"/>
              <w:rPr/>
            </w:pPr>
            <w:r>
              <w:rPr/>
              <w:t>any applicable subordination provisions for any subordinated debt securities;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34"/>
        <w:gridCol w:w="9797"/>
      </w:tblGrid>
      <w:tr>
        <w:trPr/>
        <w:tc>
          <w:tcPr>
            <w:tcW w:w="7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both"/>
              <w:rPr/>
            </w:pPr>
            <w:r>
              <w:rPr/>
              <w:t>●</w:t>
            </w:r>
          </w:p>
        </w:tc>
        <w:tc>
          <w:tcPr>
            <w:tcW w:w="9797" w:type="dxa"/>
            <w:tcBorders/>
            <w:vAlign w:val="center"/>
          </w:tcPr>
          <w:p>
            <w:pPr>
              <w:pStyle w:val="TableContents"/>
              <w:bidi w:val="0"/>
              <w:spacing w:before="0" w:after="283"/>
              <w:jc w:val="both"/>
              <w:rPr/>
            </w:pPr>
            <w:r>
              <w:rPr/>
              <w:t>the maturity date(s) or method for determining same;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22"/>
        <w:gridCol w:w="9812"/>
      </w:tblGrid>
      <w:tr>
        <w:trPr/>
        <w:tc>
          <w:tcPr>
            <w:tcW w:w="7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both"/>
              <w:rPr/>
            </w:pPr>
            <w:r>
              <w:rPr/>
              <w:t>●</w:t>
            </w:r>
          </w:p>
        </w:tc>
        <w:tc>
          <w:tcPr>
            <w:tcW w:w="9812" w:type="dxa"/>
            <w:tcBorders/>
            <w:vAlign w:val="center"/>
          </w:tcPr>
          <w:p>
            <w:pPr>
              <w:pStyle w:val="TableContents"/>
              <w:bidi w:val="0"/>
              <w:spacing w:before="0" w:after="283"/>
              <w:jc w:val="both"/>
              <w:rPr/>
            </w:pPr>
            <w:r>
              <w:rPr/>
              <w:t>the interest rate(s) or the method for determining same;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dates on which interest will accrue or the method for determining dates on which interest will accrue and dates on which interest will be payable and whether interest will be payable in cash, additional securities or some combination thereof;</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whether the debt securities are convertible or exchangeable into other securities and any related terms and conditions;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410"/>
        <w:gridCol w:w="9704"/>
      </w:tblGrid>
      <w:tr>
        <w:trPr/>
        <w:tc>
          <w:tcPr>
            <w:tcW w:w="9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both"/>
              <w:rPr/>
            </w:pPr>
            <w:r>
              <w:rPr/>
              <w:t>●</w:t>
            </w:r>
          </w:p>
        </w:tc>
        <w:tc>
          <w:tcPr>
            <w:tcW w:w="9704" w:type="dxa"/>
            <w:tcBorders/>
            <w:vAlign w:val="center"/>
          </w:tcPr>
          <w:p>
            <w:pPr>
              <w:pStyle w:val="TableContents"/>
              <w:bidi w:val="0"/>
              <w:spacing w:before="0" w:after="283"/>
              <w:jc w:val="both"/>
              <w:rPr/>
            </w:pPr>
            <w:r>
              <w:rPr/>
              <w:t>redemption or early repayment provisions;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635"/>
        <w:gridCol w:w="9429"/>
      </w:tblGrid>
      <w:tr>
        <w:trPr/>
        <w:tc>
          <w:tcPr>
            <w:tcW w:w="14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both"/>
              <w:rPr/>
            </w:pPr>
            <w:r>
              <w:rPr/>
              <w:t>●</w:t>
            </w:r>
          </w:p>
        </w:tc>
        <w:tc>
          <w:tcPr>
            <w:tcW w:w="9429" w:type="dxa"/>
            <w:tcBorders/>
            <w:vAlign w:val="center"/>
          </w:tcPr>
          <w:p>
            <w:pPr>
              <w:pStyle w:val="TableContents"/>
              <w:bidi w:val="0"/>
              <w:spacing w:before="0" w:after="283"/>
              <w:jc w:val="both"/>
              <w:rPr/>
            </w:pPr>
            <w:r>
              <w:rPr/>
              <w:t>authorized denominations;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79"/>
        <w:gridCol w:w="9986"/>
      </w:tblGrid>
      <w:tr>
        <w:trPr/>
        <w:tc>
          <w:tcPr>
            <w:tcW w:w="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both"/>
              <w:rPr/>
            </w:pPr>
            <w:r>
              <w:rPr/>
              <w:t>●</w:t>
            </w:r>
          </w:p>
        </w:tc>
        <w:tc>
          <w:tcPr>
            <w:tcW w:w="9986" w:type="dxa"/>
            <w:tcBorders/>
            <w:vAlign w:val="center"/>
          </w:tcPr>
          <w:p>
            <w:pPr>
              <w:pStyle w:val="TableContents"/>
              <w:bidi w:val="0"/>
              <w:spacing w:before="0" w:after="283"/>
              <w:jc w:val="both"/>
              <w:rPr/>
            </w:pPr>
            <w:r>
              <w:rPr/>
              <w:t>if other than the principal amount, the principal amount of debt securities payable upon acceleration;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place(s) where payment of principal and interest may be made, where debt securities may be presented and where notices or demands upon the company may be made;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form or forms of the debt securities of the series including such legends as may be required by applicable law;</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whether the debt securities will be issued in whole or in part in the form of one or more global securities and the date as of which the securities are dated if other than the date of original issuance;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6"/>
        <w:gridCol w:w="9893"/>
      </w:tblGrid>
      <w:tr>
        <w:trPr/>
        <w:tc>
          <w:tcPr>
            <w:tcW w:w="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both"/>
              <w:rPr/>
            </w:pPr>
            <w:r>
              <w:rPr/>
              <w:t>●</w:t>
            </w:r>
          </w:p>
        </w:tc>
        <w:tc>
          <w:tcPr>
            <w:tcW w:w="9893" w:type="dxa"/>
            <w:tcBorders/>
            <w:vAlign w:val="center"/>
          </w:tcPr>
          <w:p>
            <w:pPr>
              <w:pStyle w:val="TableContents"/>
              <w:bidi w:val="0"/>
              <w:spacing w:before="0" w:after="283"/>
              <w:jc w:val="both"/>
              <w:rPr/>
            </w:pPr>
            <w:r>
              <w:rPr/>
              <w:t>whether the debt securities are secured and the terms of such security;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both"/>
              <w:rPr/>
            </w:pPr>
            <w:r>
              <w:rPr/>
              <w:t>●</w:t>
            </w:r>
          </w:p>
        </w:tc>
        <w:tc>
          <w:tcPr>
            <w:tcW w:w="9957" w:type="dxa"/>
            <w:tcBorders/>
            <w:vAlign w:val="center"/>
          </w:tcPr>
          <w:p>
            <w:pPr>
              <w:pStyle w:val="TableContents"/>
              <w:bidi w:val="0"/>
              <w:spacing w:before="0" w:after="283"/>
              <w:jc w:val="both"/>
              <w:rPr/>
            </w:pPr>
            <w:r>
              <w:rPr/>
              <w:t>the amount of discount or premium, if any, with which the debt securities will be issued;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4"/>
        <w:gridCol w:w="9895"/>
      </w:tblGrid>
      <w:tr>
        <w:trPr/>
        <w:tc>
          <w:tcPr>
            <w:tcW w:w="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both"/>
              <w:rPr/>
            </w:pPr>
            <w:r>
              <w:rPr/>
              <w:t>●</w:t>
            </w:r>
          </w:p>
        </w:tc>
        <w:tc>
          <w:tcPr>
            <w:tcW w:w="9895" w:type="dxa"/>
            <w:tcBorders/>
            <w:vAlign w:val="center"/>
          </w:tcPr>
          <w:p>
            <w:pPr>
              <w:pStyle w:val="TableContents"/>
              <w:bidi w:val="0"/>
              <w:spacing w:before="0" w:after="283"/>
              <w:jc w:val="both"/>
              <w:rPr/>
            </w:pPr>
            <w:r>
              <w:rPr/>
              <w:t>any covenants applicable to the particular debt securities being issued;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any additions or changes in the defaults and events of default applicable to the particular debt securities being issued;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guarantors of each series, if any, and the extent of the guarantees (including provisions relating to seniority, subordination and release of the guarantees), if any;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currency, currencies or currency units in which the purchase price for, the principal of and any premium and any interest on, the debt securities will be payable;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time period within which, the manner in which and the terms and conditions upon which we or the holders of the debt securities can select the payment currency;</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obligation or right to redeem, purchase or repay debt securities under a sinking fund, amortization or analogous provision;</w:t>
            </w:r>
          </w:p>
        </w:tc>
      </w:tr>
    </w:tbl>
    <w:p>
      <w:pPr>
        <w:pStyle w:val="TextBody"/>
        <w:bidi w:val="0"/>
        <w:spacing w:before="0" w:after="0"/>
        <w:ind w:left="1080" w:right="0" w:hanging="360"/>
        <w:jc w:val="both"/>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38"/>
        <w:gridCol w:w="170"/>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pPr>
            <w:r>
              <w:rPr/>
              <w:t>any restriction or conditions on the transferability of the debt securities;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6"/>
        <w:gridCol w:w="9990"/>
      </w:tblGrid>
      <w:tr>
        <w:trPr/>
        <w:tc>
          <w:tcPr>
            <w:tcW w:w="3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both"/>
              <w:rPr/>
            </w:pPr>
            <w:r>
              <w:rPr/>
              <w:t>●</w:t>
            </w:r>
          </w:p>
        </w:tc>
        <w:tc>
          <w:tcPr>
            <w:tcW w:w="9990" w:type="dxa"/>
            <w:tcBorders/>
            <w:vAlign w:val="center"/>
          </w:tcPr>
          <w:p>
            <w:pPr>
              <w:pStyle w:val="TableContents"/>
              <w:bidi w:val="0"/>
              <w:spacing w:before="0" w:after="283"/>
              <w:jc w:val="both"/>
              <w:rPr/>
            </w:pPr>
            <w:r>
              <w:rPr/>
              <w:t>provisions granting special rights to holders of the debt securities upon occurrence of specified events;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additions or changes relating to compensation or reimbursement of the trustee of the series of debt securities;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provisions relating to the modification of the indenture both with and without the consent of holders of debt securities issued under the indenture and the execution of supplemental indentures for such series;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any other terms of the debt securities (which terms shall not be inconsistent with the provisions of the TIA, but may modify, amend, supplement or delete any of the terms of the indenture with respect to such series of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federal income tax consequences and special considerations, if any, applicable to any such series will be described in an accompanying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shall be construed in accordance with and governed by the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m_001"/>
      <w:bookmarkEnd w:id="22"/>
      <w:r>
        <w:rPr>
          <w:rFonts w:ascii="Times New Roman;Times;Serif" w:hAnsi="Times New Roman;Times;Serif"/>
          <w:b/>
          <w:i w:val="false"/>
          <w:caps w:val="false"/>
          <w:smallCaps w:val="false"/>
          <w:sz w:val="20"/>
        </w:rPr>
        <w:t>DESCRIPTION OF EXISTING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of the material terms of the Company’s existing warrants is not intended to be a complete summary of the rights and preferences of such securities. Read the applicable provisions of the Certificate of Incorporation, the Bylaws and the Warrant-related documents described herein in their entirety for a complete description of the rights and preferences of the Company’s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Existing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public warrants to purchase 14,674,894 shares of common stock (the “Public Warrants”), private warrants to purchase 9,950,000 shares of common stock (the “Private Warrants”) and a penny warrant to purchase 7,000,000 shares of common stock (the “Penny Warrant”) were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Warrants and Private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and Private Warrants are issued pursuant to that certain amended and restated warrant agreement, dated July 7, 2021 (as amended, the “Amended Warrant Agreement”), by and among Alussa Energy Acquisition Corp., a Cayman Islands exempted company (“Alussa”), FREYR Battery, a public limited liability company (société anonyme) incorporated under the laws of Luxembourg, T1 Energy and Continental Stock Transfer and Trust Company. The Amended Warrant Agreement is incorporated by reference into this prospectus. You should review the copy of the Amended Warrant Agreement for a complete description of the terms and conditions applicable to the Public Warrants and Private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Public Warrant entitles the registered holder to purchase one share of common stock at a price of $11.50 per share, subject to adjustment as discussed below, at any time. Pursuant to the Amended Warrant Agreement, a warrant holder may exercise its Public Warrants only for a whole number of shares of common stock. This means that only a whole warrant may be exercised at any given time by a warrant holder. The Public Warrants will expire on July 9, 2026 at 5:00 p.m., New York City time, or earlier upon redemption or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will not be obligated to deliver any common stock pursuant to the exercise of a Public Warrant and will have no obligation to settle such Public Warrant exercise unless a registration statement under the Securities Act with respect to the common stock underlying the Public Warrant is then effective and a prospectus relating thereto is current, subject to T1 Energy satisfying its obligations described below with respect to registration. No Public Warrant will be exercisable for cash or on a cashless basis, and T1 Energy will not be obligated to issue any shares to holders seeking to exercise their Public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warrant, the holder of such Public Warrant will not be entitled to exercise such Public Warrant and such Public Warrant may have no value and expire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Public Warrants become exercisable, T1 Energy may redeem the outstanding Public Warrants:</w:t>
      </w:r>
    </w:p>
    <w:p>
      <w:pPr>
        <w:pStyle w:val="TextBody"/>
        <w:bidi w:val="0"/>
        <w:spacing w:before="0" w:after="0"/>
        <w:ind w:left="720" w:right="0" w:hanging="360"/>
        <w:jc w:val="left"/>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17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both"/>
              <w:rPr>
                <w:b w:val="false"/>
              </w:rPr>
            </w:pPr>
            <w:r>
              <w:rPr>
                <w:b w:val="false"/>
              </w:rPr>
              <w:t>in whole and not in part;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551"/>
        <w:gridCol w:w="9532"/>
      </w:tblGrid>
      <w:tr>
        <w:trPr/>
        <w:tc>
          <w:tcPr>
            <w:tcW w:w="12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both"/>
              <w:rPr/>
            </w:pPr>
            <w:r>
              <w:rPr/>
              <w:t>●</w:t>
            </w:r>
          </w:p>
        </w:tc>
        <w:tc>
          <w:tcPr>
            <w:tcW w:w="9532" w:type="dxa"/>
            <w:tcBorders/>
            <w:vAlign w:val="center"/>
          </w:tcPr>
          <w:p>
            <w:pPr>
              <w:pStyle w:val="TableContents"/>
              <w:bidi w:val="0"/>
              <w:spacing w:before="0" w:after="283"/>
              <w:jc w:val="both"/>
              <w:rPr>
                <w:b w:val="false"/>
              </w:rPr>
            </w:pPr>
            <w:r>
              <w:rPr>
                <w:b w:val="false"/>
              </w:rPr>
              <w:t>at a price of $0.01 per warrant;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b w:val="false"/>
              </w:rPr>
            </w:pPr>
            <w:r>
              <w:rPr>
                <w:b w:val="false"/>
              </w:rPr>
              <w:t>upon a minimum of 30 days’ prior written notice of redemption, which we refer to as the 30-day redemption period, to each warrant holder;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b w:val="false"/>
              </w:rPr>
            </w:pPr>
            <w:r>
              <w:rPr>
                <w:b w:val="false"/>
              </w:rPr>
              <w:t xml:space="preserve">if, and only if, the last reported sale price of the shares of common stock equals or exceeds $18.00 per share (as adjusted for share splits, share capitalizations, rights issuances, subdivisions, reorganizations, recapitalizations and the like) for any 20 trading days within a 30-trading day period ending on the third trading day prior to the date on which T1 Energy sends the notice of redemption to the warrant holders.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established the last of the redemption criterion discussed above to prevent a redemption call unless there is at the time of the call a significant premium to the Public Warrant exercise price. If the foregoing conditions are satisfied and T1 Energy issues a notice of redemption of the Public Warrants, each warrant holder will be entitled to exercise his, her or its Public Warrant prior to the scheduled redemption date. However, the price of the common stock may fall below the $18.00 redemption trigger price as well as the $11.50 Public Warrant exercise price after the redemption notice is issued. T1 Energy will not redeem the Public Warrants unless a registration statement under the Securities Act covering the shares of common stock issuable upon exercise of the Public Warrants is effective and a current prospectus relating to those shares of common stock is available throughout the 30-day redemption period, except if the Public Warrants may be exercised on a cashless basis and such cashless exercise is exempt from registration under the Securities Act. If and when the Public Warrants become redeemable by T1 Energy, T1 Energy may not exercise its redemption right if the issuance of shares upon exercise of the Public Warrants is not exempt from registration or qualification under applicable state blue sky laws or it is unable to effect such registration or qualification.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T1 Energy calls the Public Warrants for redemption as described above, T1 Energy’s management will have the option to require all holders that wish to exercise Public Warrants to do so on a “cashless basis.” In determining whether to require all holders to exercise their Public Warrants on a “cashless basis,” T1 Energy’s management will consider, among other factors, its cash position, the number of Public Warrants that are outstanding and the dilutive effect on its stockholders of issuing the maximum number of shares of common stock issuable upon the exercise of its Public Warrants. In such event, each holder would pay the exercise price by surrendering the Public Warrants for that number of shares of common stock equal to the quotient obtained by dividing (x) the product of the number of shares of common stock underlying the Warrants (as defined in the Amended Warrant Agreement), multiplied by the excess of the “fair market value” (as defined in the Amended Warrant Agreement) over the exercise price of the Warrants by (y) the fair market value. The “fair market value” shall mean the average reported last sale price of the common stock for the 10 trading days ending on the third trading day prior to the date on which the notice of redemption is sent to the holders of the Public Warrants, provided that in all cases, the exercise price shall correspond to at least the accounting par value of the common stock. If T1 Energy takes advantage of this option, the notice of redemption will contain the information necessary to calculate the number of common stock to be received upon exercise of the Public Warrants, including the “fair market value” in such case. Requiring a cashless exercise in this manner will reduce the number of shares to be issued and thereby lessen the dilutive effect of a Public Warrant redemption. If T1 Energy’s management calls the Public Warrants for redemption and its management does not take advantage of this option, Alussa Energy Sponsor LLC (the “Sponsor”) and its permitted transferees would still be entitled to exercise their Private Warrants for cash or on a cashless basis using the same formula described above that other warrant holders would have been required to use had all warrants holders been required to exercise their Public Warrants on a cashless basis, as described in more detail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Public Warrant may notify T1 Energy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the common stock outstanding immediately after giving effect to such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issued and outstanding common stock is increased by a capitalization payable in, or by a sub-division of common stock or other similar event, then, on the effective date of such capitalization, sub-division or similar event, the number of shares of common stock issuable on exercise of each Public Warrant will be increased in proportion to such increase in the issued and outstanding shares of common stock. A rights offering to holders of common stock entitling holders to purchase shares of common stock at a price less than the fair market value will be deemed a capitalization of a number of shares of common stock equal to the product of (i) the number of common stock actually sold in such rights offering (or issuable under any other equity securities sold in such rights offering that are convertible into or exercisable for shares of common stock) multiplied by (ii) one minus the quotient of (x) the price per share of our common stock paid in such rights offering divided by (y) the fair market value. For these purposes (i) if the rights offering is for securities convertible into or exercisable for shares of common stock, in determining the price payable for shares of common stock, there will be taken into account any consideration received for such rights, as well as any additional amount payable upon exercise or conversion and (ii) fair market value means the volume weighted average price of our common stock as reported during the ten trading day period ending on the trading day prior to the first date on which the shares of common stock trade on the applicable exchange or in the applicable market, regular way, without the right to receive such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issued and outstanding shares of common stock is decreased by a consolidation, combination, reverse share split or reclassification of common stock or other similar event, then, on the effective date of such consolidation, combination, reverse share split, reclassification or similar event, the number of shares of common stock issuable on exercise of each Public Warrant will be decreased in proportion to such decrease in issued and outstanding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shares of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issued and outstanding common stock (other than those described above or that solely affects the par value of such shares of common stock), or in the case of any merger or consolidation of T1 Energy with or into another corporation (other than a consolidation or merger in which T1 Energy is the continuing corporation and that does not result in any reclassification or reorganization of T1 Energy’s issued and outstanding common stock), or in the case of any sale or conveyance to another corporation or entity of the assets or other property of T1 Energy as an entirety or substantially as an entirety in connection with which T1 Energy is liquidated and dissolved, the holders of the Public Warrants will thereafter have the right to purchase and receive, upon the basis and upon the terms and conditions specified in the Public Warrants and in lieu of T1 Energy’s common stock immediately theretofore purchasable and receivable upon the exercise of the rights represented thereby, the kind and amount of shares or other securities or property (including cash) receivable upon such reclassification, reorganization, merger or consolidation, or upon a dissolution following any such sale or transfer, that the holder of the Public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Alussa in connection with redemption rights held by shareholders of Alussa as provided for in Alussa’s amended and restated memorandum and articles of association)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common stock, the holder of a Public Warrant will be entitled to receive the highest amount of cash, securities or other property to which such holder would actually have been entitled as a stockholder if such warrant holder had exercised the Public Warrant prior to the expiration of such tender or exchange offer, accepted such offer and all of the common stock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common stock in such a transaction is payable in the form of shares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Public Warrant exercise price will be reduced as specified in the Amended Warrant Agreement based on the per share consideration minus Black-Scholes Warrant Value (as defined in the Amended Warrant Agreement) of the Public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common stock and any voting rights until they exercise their Public Warrants and receive common stock. After the issuance of common stock upon exercise of the Public Warrants, each holder will be entitled to one vote for each share held of record on all matters to be voted on by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currently listed on the NYSE under the symbol “TE 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including the common stock issuable upon exercise of the Private Warrants, are not redeemable by T1 Energy and will be exercisable on a cashless basis so long as they are held by the Sponsor or its permitted transferees. Otherwise, the Private Warrants have terms and provisions that are identical to those of the Public Warrants. If the Private Warrants are held by holders other than the Sponsor or their permitted transferees, the Private Warrants will be redeemable by T1 Energy and exercisable by the holders on the same basis as Public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holders of the Private Warrants elect to exercise them on a cashless basis, they would pay the exercise price by surrendering his, her or its warrants for that number of shares of common stock equal to the quotient obtained by dividing (x) the product of the number of shares of common stock underlying the Warrants (as defined in the Amended Warrant Agreement), multiplied by the excess of the “fair market value” (as defined in the Amended Warrant Agreement) over the exercise price of the Warrants by (y) the fair market value. The “fair market value” shall mean the average reported last sale price of the common stock for the 10 trading days ending on the third trading day prior to the date on which the notice of warrant exercise is sent to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Penny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warrant agreement, dated September 10, 2025 (the “Penny Warrant Agreement”), between T1 Energy and Stellar Hann Investment Ltd., we issued a Penny Warrant to purchase 7,000,000 shares of common stock, having an exercise price of $0.01 per share, subject to adjustment as provided therein, to Stellar Hann Investment Ltd. The Penny Warrant to purchase up to an aggregate of 7,000,000 shares of our common stock fully vests and becomes exercisable, in whole or in part, on March 10, 2026, and will expire on September 10, 2030. No fraction of a share of common stock will be issued upon any exercise of the Penny Warrant. In lieu of paying the exercise price, the holder may surrender a number of shares of common stock having a fair market value equal to the aggregate exercise price.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is subject to adjustment as provided under the Penny Warrant Agreement. In the event T1 Energy subdivides or reclassifies its outstanding shares of common stock into a greater number of shares of common stock or declares and pays a distribution on the shares of common stock payable in additional shares of common stock, the exercise price, as then in effect, shall be proportionately reduced, and T1 Energy shall proportionately increase the number of shares of common stock then issuable upon exercise under the Penny Warrant (and not previously exercised). If, prior to the expiration of the Penny Warrant, T1 Energy consolidates or reclassifies its outstanding shares of common stock into a lesser number of shares of common stock, the exercise price, as then in effect, shall be proportionately increased, and T1 Energy shall proportionately reduce the number of shares of common stock then issuable upon exercise under the Penny Warrant (and not previously exercised).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Penny Warrant Agreement, no holder of the Penny Warrant shall have or exercise any rights held by holders of common stock solely by virtue thereof as a holder of the Penny Warrant, including the right to vote and to receive dividends and other distributions as a holder of common stock prior to the issuance to the holder of the Penny Warrant of the shares of common stock which such holder is then entitled to receive upon the due exercise of the Penny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Penny Warrant Agreement does not permit any transfer of the Penny Warrant and may not be amended to permit such transfer without our consent. The Penny Warrant Agreement includes customary registration rights requiring us to file and keep effective a resale registration statement registering the resale of the Penny Warrant and shares of common stock underlying the Penny Warrant. Other customary representations and warranties and terms were included in the Penny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09"/>
      <w:bookmarkEnd w:id="23"/>
      <w:r>
        <w:rPr>
          <w:rFonts w:ascii="Times New Roman;Times;Serif" w:hAnsi="Times New Roman;Times;Serif"/>
          <w:b/>
          <w:i w:val="false"/>
          <w:caps w:val="false"/>
          <w:smallCaps w:val="false"/>
          <w:sz w:val="20"/>
        </w:rPr>
        <w:t>DESCRIPTION OF NEW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for the purchase of shares of our common stock, shares of our preferred stock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prospectus supplement relating to a particular issue of warrants will describe the terms of those warrants, which may include, when applicable:</w:t>
      </w:r>
    </w:p>
    <w:p>
      <w:pPr>
        <w:pStyle w:val="TextBody"/>
        <w:bidi w:val="0"/>
        <w:spacing w:before="0" w:after="0"/>
        <w:ind w:left="0" w:right="0" w:firstLine="720"/>
        <w:jc w:val="both"/>
        <w:rPr>
          <w:caps w:val="false"/>
          <w:smallCaps w:val="false"/>
        </w:rPr>
      </w:pPr>
      <w:r>
        <w:rPr>
          <w:caps w:val="false"/>
          <w:smallCaps w:val="false"/>
        </w:rPr>
        <w:t> </w:t>
      </w:r>
    </w:p>
    <w:tbl>
      <w:tblPr>
        <w:tblW w:w="1923" w:type="dxa"/>
        <w:jc w:val="left"/>
        <w:tblInd w:w="0" w:type="dxa"/>
        <w:tblLayout w:type="fixed"/>
        <w:tblCellMar>
          <w:top w:w="0" w:type="dxa"/>
          <w:left w:w="0" w:type="dxa"/>
          <w:bottom w:w="0" w:type="dxa"/>
          <w:right w:w="0" w:type="dxa"/>
        </w:tblCellMar>
      </w:tblPr>
      <w:tblGrid>
        <w:gridCol w:w="38"/>
        <w:gridCol w:w="170"/>
        <w:gridCol w:w="1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1715" w:type="dxa"/>
            <w:tcBorders/>
            <w:vAlign w:val="center"/>
          </w:tcPr>
          <w:p>
            <w:pPr>
              <w:pStyle w:val="TableContents"/>
              <w:bidi w:val="0"/>
              <w:spacing w:before="0" w:after="283"/>
              <w:jc w:val="both"/>
              <w:rPr/>
            </w:pPr>
            <w:r>
              <w:rPr/>
              <w:t>the offering price;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currency or currencies, including composite currencies, in which the purchase price and/or exercise price of the warrants may be payable;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537"/>
        <w:gridCol w:w="9548"/>
      </w:tblGrid>
      <w:tr>
        <w:trPr/>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both"/>
              <w:rPr/>
            </w:pPr>
            <w:r>
              <w:rPr/>
              <w:t>●</w:t>
            </w:r>
          </w:p>
        </w:tc>
        <w:tc>
          <w:tcPr>
            <w:tcW w:w="9548" w:type="dxa"/>
            <w:tcBorders/>
            <w:vAlign w:val="center"/>
          </w:tcPr>
          <w:p>
            <w:pPr>
              <w:pStyle w:val="TableContents"/>
              <w:bidi w:val="0"/>
              <w:spacing w:before="0" w:after="283"/>
              <w:jc w:val="both"/>
              <w:rPr/>
            </w:pPr>
            <w:r>
              <w:rPr/>
              <w:t>the number of warrants offered;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28"/>
        <w:gridCol w:w="9926"/>
      </w:tblGrid>
      <w:tr>
        <w:trPr/>
        <w:tc>
          <w:tcPr>
            <w:tcW w:w="5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both"/>
              <w:rPr/>
            </w:pPr>
            <w:r>
              <w:rPr/>
              <w:t>●</w:t>
            </w:r>
          </w:p>
        </w:tc>
        <w:tc>
          <w:tcPr>
            <w:tcW w:w="9926" w:type="dxa"/>
            <w:tcBorders/>
            <w:vAlign w:val="center"/>
          </w:tcPr>
          <w:p>
            <w:pPr>
              <w:pStyle w:val="TableContents"/>
              <w:bidi w:val="0"/>
              <w:spacing w:before="0" w:after="283"/>
              <w:jc w:val="both"/>
              <w:rPr/>
            </w:pPr>
            <w:r>
              <w:rPr/>
              <w:t>the exercise price and the amount of securities you will receive upon exercise;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procedure for exercise of the warrants and the circumstances, if any, that will cause the warrants to be automatically exercised;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350"/>
        <w:gridCol w:w="9777"/>
      </w:tblGrid>
      <w:tr>
        <w:trPr/>
        <w:tc>
          <w:tcPr>
            <w:tcW w:w="7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both"/>
              <w:rPr/>
            </w:pPr>
            <w:r>
              <w:rPr/>
              <w:t>●</w:t>
            </w:r>
          </w:p>
        </w:tc>
        <w:tc>
          <w:tcPr>
            <w:tcW w:w="9777" w:type="dxa"/>
            <w:tcBorders/>
            <w:vAlign w:val="center"/>
          </w:tcPr>
          <w:p>
            <w:pPr>
              <w:pStyle w:val="TableContents"/>
              <w:bidi w:val="0"/>
              <w:spacing w:before="0" w:after="283"/>
              <w:jc w:val="both"/>
              <w:rPr/>
            </w:pPr>
            <w:r>
              <w:rPr/>
              <w:t>the rights, if any, we have to redeem the warrants;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date on which the right to exercise the warrants will commence and the date on which the warrants will expire;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494"/>
        <w:gridCol w:w="9601"/>
      </w:tblGrid>
      <w:tr>
        <w:trPr/>
        <w:tc>
          <w:tcPr>
            <w:tcW w:w="11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both"/>
              <w:rPr/>
            </w:pPr>
            <w:r>
              <w:rPr/>
              <w:t>●</w:t>
            </w:r>
          </w:p>
        </w:tc>
        <w:tc>
          <w:tcPr>
            <w:tcW w:w="9601" w:type="dxa"/>
            <w:tcBorders/>
            <w:vAlign w:val="center"/>
          </w:tcPr>
          <w:p>
            <w:pPr>
              <w:pStyle w:val="TableContents"/>
              <w:bidi w:val="0"/>
              <w:spacing w:before="0" w:after="283"/>
              <w:jc w:val="both"/>
              <w:rPr/>
            </w:pPr>
            <w:r>
              <w:rPr/>
              <w:t>the name of the warrant agent;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430"/>
        <w:gridCol w:w="9680"/>
      </w:tblGrid>
      <w:tr>
        <w:trPr/>
        <w:tc>
          <w:tcPr>
            <w:tcW w:w="9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both"/>
              <w:rPr/>
            </w:pPr>
            <w:r>
              <w:rPr/>
              <w:t>●</w:t>
            </w:r>
          </w:p>
        </w:tc>
        <w:tc>
          <w:tcPr>
            <w:tcW w:w="9680" w:type="dxa"/>
            <w:tcBorders/>
            <w:vAlign w:val="center"/>
          </w:tcPr>
          <w:p>
            <w:pPr>
              <w:pStyle w:val="TableContents"/>
              <w:bidi w:val="0"/>
              <w:spacing w:before="0" w:after="283"/>
              <w:jc w:val="both"/>
              <w:rPr/>
            </w:pPr>
            <w:r>
              <w:rPr/>
              <w:t>any other material terms of the warrants.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warrants expire they will become void. The accompanying prospectus supplement may provide for the adjustment of the exercise price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and “Incorporation of Certain Documents by Reference.” We urge you to read the applicable warrant agreement and any accompanying prospectus supplement in their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10"/>
      <w:bookmarkEnd w:id="24"/>
      <w:r>
        <w:rPr>
          <w:rFonts w:ascii="Times New Roman;Times;Serif" w:hAnsi="Times New Roman;Times;Serif"/>
          <w:b/>
          <w:i w:val="false"/>
          <w:caps w:val="false"/>
          <w:smallCaps w:val="false"/>
          <w:sz w:val="20"/>
        </w:rPr>
        <w:t>DESCRIPTION OF SUBSCRIPTION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rights to purchase shares of our common stock, shares of our preferred stock or our debt securities. We may issue subscription rights independently or together with any other offered security, which may or may not be transferable by the securityholder.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subscription rights we may offer will contain the specific terms of the subscription rights. These terms may include the following:</w:t>
      </w:r>
    </w:p>
    <w:p>
      <w:pPr>
        <w:pStyle w:val="TextBody"/>
        <w:bidi w:val="0"/>
        <w:spacing w:before="0" w:after="0"/>
        <w:ind w:left="0" w:right="0" w:firstLine="720"/>
        <w:jc w:val="both"/>
        <w:rPr>
          <w:caps w:val="false"/>
          <w:smallCaps w:val="false"/>
        </w:rPr>
      </w:pPr>
      <w:r>
        <w:rPr>
          <w:caps w:val="false"/>
          <w:smallCaps w:val="false"/>
        </w:rPr>
        <w:t> </w:t>
      </w:r>
    </w:p>
    <w:tbl>
      <w:tblPr>
        <w:tblW w:w="4293" w:type="dxa"/>
        <w:jc w:val="left"/>
        <w:tblInd w:w="0" w:type="dxa"/>
        <w:tblLayout w:type="fixed"/>
        <w:tblCellMar>
          <w:top w:w="0" w:type="dxa"/>
          <w:left w:w="0" w:type="dxa"/>
          <w:bottom w:w="0" w:type="dxa"/>
          <w:right w:w="0" w:type="dxa"/>
        </w:tblCellMar>
      </w:tblPr>
      <w:tblGrid>
        <w:gridCol w:w="38"/>
        <w:gridCol w:w="170"/>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85" w:type="dxa"/>
            <w:tcBorders/>
            <w:vAlign w:val="center"/>
          </w:tcPr>
          <w:p>
            <w:pPr>
              <w:pStyle w:val="TableContents"/>
              <w:bidi w:val="0"/>
              <w:spacing w:before="0" w:after="283"/>
              <w:jc w:val="both"/>
              <w:rPr/>
            </w:pPr>
            <w:r>
              <w:rPr/>
              <w:t>the price, if any, for the subscription rights;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number and terms of each share of common stock or preferred stock or debt securities which may be purchased per each subscription right;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exercise price payable for each share of common stock or preferred stock or debt securities upon the exercise of the subscription rights;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3"/>
        <w:gridCol w:w="9835"/>
      </w:tblGrid>
      <w:tr>
        <w:trPr/>
        <w:tc>
          <w:tcPr>
            <w:tcW w:w="6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w:t>
            </w:r>
          </w:p>
        </w:tc>
        <w:tc>
          <w:tcPr>
            <w:tcW w:w="9835" w:type="dxa"/>
            <w:tcBorders/>
            <w:vAlign w:val="center"/>
          </w:tcPr>
          <w:p>
            <w:pPr>
              <w:pStyle w:val="TableContents"/>
              <w:bidi w:val="0"/>
              <w:spacing w:before="0" w:after="283"/>
              <w:jc w:val="both"/>
              <w:rPr/>
            </w:pPr>
            <w:r>
              <w:rPr/>
              <w:t>the extent to which the subscription rights are transferable;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provisions for adjustment of the number or amount of securities receivable upon exercise of the subscription rights or the exercise price of the subscription rights;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other terms of the subscription rights, including the terms, procedures and limitations relating to the exchange and exercise of the subscription rights;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on which the right to exercise the subscription rights shall commence, and the date on which the subscription rights shall expire;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extent to which the subscription rights may include an over-subscription privilege with respect to unsubscribed securities;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applicable, the material terms of any standby underwriting or purchase arrangement entered into by us in connection with the offering of subscription rights.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an accompanying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 For more information on how you can obtain copies of any subscription rights certificate or subscription rights agreement if we offer subscription rights, see “Where You Can Find More Information” and “Incorporation of Certain Documents by Reference.” We urge you to read the applicable subscription rights certificate, the applicable subscription rights agreement and any accompanying prospectus supplement in their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11"/>
      <w:bookmarkEnd w:id="25"/>
      <w:r>
        <w:rPr>
          <w:rFonts w:ascii="Times New Roman;Times;Serif" w:hAnsi="Times New Roman;Times;Serif"/>
          <w:b/>
          <w:i w:val="false"/>
          <w:caps w:val="false"/>
          <w:smallCaps w:val="false"/>
          <w:sz w:val="20"/>
        </w:rPr>
        <w:t>DESCRIPTION OF PURCHASE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purchase units comprised of two or more of the securities described in this prospectus, in any combination. Each purchase unit will be issued so that the holder of the purchase unit is also the holder of each security included in the purchase unit. Thus, the holder of a purchase unit will have the rights and obligations of a holder of each included security. The purchase units or the purchase unit or other agreement, if any, under which a purchase unit is issued may provide that the securities included in the purchase unit may not be held or transferred separately at any time, or at any time before a specified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 particular issue of purchase units will describe, among other things: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securities comprising the purchase units, including whether and under what circumstances those securities may be held or transferred separately;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material provisions related to the issuance, payment, settlement, transfer or exchange of the purchase units or of the securities comprising the purchase units;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8"/>
        <w:gridCol w:w="9976"/>
      </w:tblGrid>
      <w:tr>
        <w:trPr/>
        <w:tc>
          <w:tcPr>
            <w:tcW w:w="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76" w:type="dxa"/>
            <w:tcBorders/>
            <w:vAlign w:val="center"/>
          </w:tcPr>
          <w:p>
            <w:pPr>
              <w:pStyle w:val="TableContents"/>
              <w:bidi w:val="0"/>
              <w:spacing w:before="0" w:after="283"/>
              <w:jc w:val="both"/>
              <w:rPr/>
            </w:pPr>
            <w:r>
              <w:rPr/>
              <w:t>any other material provisions of the purchase units or governing unit or other agreement, if any.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12"/>
      <w:bookmarkEnd w:id="26"/>
      <w:r>
        <w:rPr>
          <w:rFonts w:ascii="Times New Roman;Times;Serif" w:hAnsi="Times New Roman;Times;Serif"/>
          <w:b/>
          <w:i w:val="false"/>
          <w:caps w:val="false"/>
          <w:smallCaps w:val="false"/>
          <w:sz w:val="20"/>
        </w:rPr>
        <w:t>SELLING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securityholders are persons or entities that, directly or indirectly, have acquired or will from time to time acquire from us, our securities in various private transactions. Such selling securityholders may be parties to a registration rights agreement with us, or we otherwise may have agreed or will agree to register their securities for resale. The initial purchasers of our securities, as well as their transferees, pledgees, donees or successors, all of whom we refer to as “selling securityholders,” may from time to time offer and sell the securities pursuant to this prospectus and any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set forth the name of each selling securityholder and the number of and type of securities beneficially owned by such selling securityholder that are covered by such prospectus supplement. The applicable prospectus supplement also will disclose whether any of the selling securityholders have held any position or office with, have been employed by or otherwise have had a material relationship with us during the three years prior to the date of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13"/>
      <w:bookmarkEnd w:id="27"/>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securityholders may sell the securities being offered hereby in one or more of the following ways from time to time: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438"/>
        <w:gridCol w:w="9670"/>
      </w:tblGrid>
      <w:tr>
        <w:trPr/>
        <w:tc>
          <w:tcPr>
            <w:tcW w:w="9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pPr>
            <w:r>
              <w:rPr/>
              <w:t>●</w:t>
            </w:r>
          </w:p>
        </w:tc>
        <w:tc>
          <w:tcPr>
            <w:tcW w:w="9670" w:type="dxa"/>
            <w:tcBorders/>
            <w:vAlign w:val="center"/>
          </w:tcPr>
          <w:p>
            <w:pPr>
              <w:pStyle w:val="TableContents"/>
              <w:bidi w:val="0"/>
              <w:spacing w:before="0" w:after="283"/>
              <w:jc w:val="left"/>
              <w:rPr/>
            </w:pPr>
            <w:r>
              <w:rPr/>
              <w:t>to underwriters for resale to purchasers;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7"/>
        <w:gridCol w:w="750"/>
        <w:gridCol w:w="9288"/>
      </w:tblGrid>
      <w:tr>
        <w:trPr/>
        <w:tc>
          <w:tcPr>
            <w:tcW w:w="16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pPr>
            <w:r>
              <w:rPr/>
              <w:t>●</w:t>
            </w:r>
          </w:p>
        </w:tc>
        <w:tc>
          <w:tcPr>
            <w:tcW w:w="9288" w:type="dxa"/>
            <w:tcBorders/>
            <w:vAlign w:val="center"/>
          </w:tcPr>
          <w:p>
            <w:pPr>
              <w:pStyle w:val="TableContents"/>
              <w:bidi w:val="0"/>
              <w:spacing w:before="0" w:after="283"/>
              <w:jc w:val="left"/>
              <w:rPr/>
            </w:pPr>
            <w:r>
              <w:rPr/>
              <w:t>directly to purchasers;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436"/>
        <w:gridCol w:w="9672"/>
      </w:tblGrid>
      <w:tr>
        <w:trPr/>
        <w:tc>
          <w:tcPr>
            <w:tcW w:w="9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pPr>
            <w:r>
              <w:rPr/>
              <w:t>●</w:t>
            </w:r>
          </w:p>
        </w:tc>
        <w:tc>
          <w:tcPr>
            <w:tcW w:w="9672" w:type="dxa"/>
            <w:tcBorders/>
            <w:vAlign w:val="center"/>
          </w:tcPr>
          <w:p>
            <w:pPr>
              <w:pStyle w:val="TableContents"/>
              <w:bidi w:val="0"/>
              <w:spacing w:before="0" w:after="283"/>
              <w:jc w:val="left"/>
              <w:rPr/>
            </w:pPr>
            <w:r>
              <w:rPr/>
              <w:t>through agents or dealers to purchasers;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347"/>
        <w:gridCol w:w="9781"/>
      </w:tblGrid>
      <w:tr>
        <w:trPr/>
        <w:tc>
          <w:tcPr>
            <w:tcW w:w="7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w:t>
            </w:r>
          </w:p>
        </w:tc>
        <w:tc>
          <w:tcPr>
            <w:tcW w:w="9781" w:type="dxa"/>
            <w:tcBorders/>
            <w:vAlign w:val="center"/>
          </w:tcPr>
          <w:p>
            <w:pPr>
              <w:pStyle w:val="TableContents"/>
              <w:bidi w:val="0"/>
              <w:spacing w:before="0" w:after="283"/>
              <w:jc w:val="left"/>
              <w:rPr/>
            </w:pPr>
            <w:r>
              <w:rPr/>
              <w:t>through a combination of any of these methods; or</w:t>
            </w:r>
          </w:p>
        </w:tc>
      </w:tr>
    </w:tbl>
    <w:p>
      <w:pPr>
        <w:pStyle w:val="TextBody"/>
        <w:bidi w:val="0"/>
        <w:spacing w:before="0" w:after="0"/>
        <w:ind w:left="0" w:right="0" w:firstLine="72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75"/>
        <w:gridCol w:w="170"/>
        <w:gridCol w:w="85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through any other methods described in the applicable prospectus supplement or free writing prospectus.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or the selling securityholders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the selling securityholders or others to settle such sales and may use securities received from us to close out any related short positions. We or the selling securityholders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securityholders will identify the specific plan of distribution, including any underwriters, dealers, agents or direct purchasers and their compensation in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14"/>
      <w:bookmarkEnd w:id="28"/>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any accompanying prospectus supplement, the validity of the securities that may be issued or resold under this prospectus will be passed upon for T1 Energy by Skadden, Arps, Slate, Meagher &amp; Flom LLP, Houston, Texas. Skadden, Arps, Slate, Meagher &amp; Flom LLP may also provide opinions regarding certain other matters. Any underwriters will be advised about legal matters by their own counsel, which will be named in an accompanying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15"/>
      <w:bookmarkEnd w:id="29"/>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in this prospectus by reference to the Annual Report on Form 10-K for the year ended December 31, 2024 have been so incorporated in reliance on the report of PricewaterhouseCoopers AS, an independent registered public accounting firm, given on the authority of said firm as experts in auditing and accounting. PricewaterhouseCoopers AS is a member of Den norske Revisorforening.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in this prospectus by reference to the Current Report on Form 8-K/A filed with the SEC on March 10, 2025 have been so incorporated in reliance on the report of RSM China CPA LLP, an independent registered public accounting firm, given on the authority of said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_016"/>
      <w:bookmarkEnd w:id="30"/>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under the Securities Act with respect to our securities offered by this prospectus. The registration statement, including the attached exhibits and schedules, contains additional relevant information about us and our securities. The rules and regulations of the SEC allow us to omit from this prospectus certain information included in the registration statement. For further information about us and the securities, you should refer to the registration statement and the exhibits and schedules filed with the registration statement.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reporting requirements of the Exchange Act, and its rules and regulations. The Exchange Act requires us to file reports and other information with the SEC. The SEC maintains a website that contains reports and other information regarding issuers that file electronically with the SEC. These materials may be obtained electronically by accessing the SEC’s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available, free of charge on our website, our Annual Reports on Form 10-K, Quarterly Reports on Form 10-Q, Current Reports on Form 8-K and amendments to these reports filed or furnished pursuant to Section 13(a), 14 or 15(d) of the Exchange Act, as soon as reasonably practicable after we electronically file these documents with, or furnish them to, the SEC. These documents are also posted on our website at </w:t>
      </w:r>
      <w:r>
        <w:rPr>
          <w:rFonts w:ascii="Times New Roman;Times;Serif" w:hAnsi="Times New Roman;Times;Serif"/>
          <w:b w:val="false"/>
          <w:i/>
          <w:caps w:val="false"/>
          <w:smallCaps w:val="false"/>
          <w:sz w:val="20"/>
        </w:rPr>
        <w:t>https://t1energy.com/</w:t>
      </w:r>
      <w:r>
        <w:rPr>
          <w:rFonts w:ascii="Times New Roman;Times;Serif" w:hAnsi="Times New Roman;Times;Serif"/>
          <w:b w:val="false"/>
          <w:i w:val="false"/>
          <w:caps w:val="false"/>
          <w:smallCaps w:val="false"/>
          <w:sz w:val="20"/>
        </w:rPr>
        <w:t>. Any references in this prospectus to our website are inactive textual references only, and the information contained on or that can be accessed through our website (except for the SEC filings expressly incorporated by reference herein) is not incorporated in, and is not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_017"/>
      <w:bookmarkEnd w:id="31"/>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information we file with the SEC in other documents. This means that we can disclose important information to you by referring to another document we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 that we have previously filed with the SEC (other than any document or portion of any document furnished or deemed furnished and not filed in accordance with SEC rules, including Items 2.02 and 7.01 of Form 8-K and Item 9.01 related thereto):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Annual Report on </w:t>
            </w:r>
            <w:hyperlink r:id="rId26">
              <w:r>
                <w:rPr>
                  <w:rStyle w:val="InternetLink"/>
                </w:rPr>
                <w:t>Form 10-K</w:t>
              </w:r>
            </w:hyperlink>
            <w:r>
              <w:rPr/>
              <w:t xml:space="preserve"> and </w:t>
            </w:r>
            <w:hyperlink r:id="rId27">
              <w:r>
                <w:rPr>
                  <w:rStyle w:val="InternetLink"/>
                </w:rPr>
                <w:t>Form 10-K/A</w:t>
              </w:r>
            </w:hyperlink>
            <w:r>
              <w:rPr/>
              <w:t xml:space="preserve"> for the fiscal year ended December 31, 2024, filed with the SEC on March 31, 2025 and April 30, 2025, respectively;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Quarterly Reports on Form 10-Q and Form 10-Q/A for the quarterly period ended March 31, 2025, filed with the SEC on </w:t>
            </w:r>
            <w:hyperlink r:id="rId28">
              <w:r>
                <w:rPr>
                  <w:rStyle w:val="InternetLink"/>
                </w:rPr>
                <w:t>May 15, 2025</w:t>
              </w:r>
            </w:hyperlink>
            <w:r>
              <w:rPr/>
              <w:t> and </w:t>
            </w:r>
            <w:hyperlink r:id="rId29">
              <w:r>
                <w:rPr>
                  <w:rStyle w:val="InternetLink"/>
                </w:rPr>
                <w:t>August 18, 2025</w:t>
              </w:r>
            </w:hyperlink>
            <w:r>
              <w:rPr/>
              <w:t>, respectively, for the quarterly period ended June 30, 2025, filed with the SEC on </w:t>
            </w:r>
            <w:hyperlink r:id="rId30">
              <w:r>
                <w:rPr>
                  <w:rStyle w:val="InternetLink"/>
                </w:rPr>
                <w:t>August 19, 2025</w:t>
              </w:r>
            </w:hyperlink>
            <w:r>
              <w:rPr/>
              <w:t xml:space="preserve">, and for the quarterly period ended September 30, 2025, filed with the SEC on </w:t>
            </w:r>
            <w:hyperlink r:id="rId31">
              <w:r>
                <w:rPr>
                  <w:rStyle w:val="InternetLink"/>
                </w:rPr>
                <w:t>November 14, 2025</w:t>
              </w:r>
            </w:hyperlink>
            <w:r>
              <w:rPr/>
              <w: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Current Reports on Form 8-K and Form 8-K/A, as applicable, filed with the SEC on </w:t>
            </w:r>
            <w:hyperlink r:id="rId32">
              <w:r>
                <w:rPr>
                  <w:rStyle w:val="InternetLink"/>
                </w:rPr>
                <w:t>February 10, 2025</w:t>
              </w:r>
            </w:hyperlink>
            <w:r>
              <w:rPr/>
              <w:t xml:space="preserve">, </w:t>
            </w:r>
            <w:hyperlink r:id="rId33">
              <w:r>
                <w:rPr>
                  <w:rStyle w:val="InternetLink"/>
                </w:rPr>
                <w:t>February 14, 2025</w:t>
              </w:r>
            </w:hyperlink>
            <w:r>
              <w:rPr/>
              <w:t xml:space="preserve">, </w:t>
            </w:r>
            <w:hyperlink r:id="rId34">
              <w:r>
                <w:rPr>
                  <w:rStyle w:val="InternetLink"/>
                </w:rPr>
                <w:t>February 19, 2025</w:t>
              </w:r>
            </w:hyperlink>
            <w:r>
              <w:rPr/>
              <w:t xml:space="preserve">, </w:t>
            </w:r>
            <w:hyperlink r:id="rId35">
              <w:r>
                <w:rPr>
                  <w:rStyle w:val="InternetLink"/>
                </w:rPr>
                <w:t>March 4, 2025</w:t>
              </w:r>
            </w:hyperlink>
            <w:r>
              <w:rPr/>
              <w:t xml:space="preserve">, </w:t>
            </w:r>
            <w:hyperlink r:id="rId36">
              <w:r>
                <w:rPr>
                  <w:rStyle w:val="InternetLink"/>
                </w:rPr>
                <w:t>March 10, 2025</w:t>
              </w:r>
            </w:hyperlink>
            <w:r>
              <w:rPr/>
              <w:t xml:space="preserve">, </w:t>
            </w:r>
            <w:hyperlink r:id="rId37">
              <w:r>
                <w:rPr>
                  <w:rStyle w:val="InternetLink"/>
                </w:rPr>
                <w:t>March 14, 2025</w:t>
              </w:r>
            </w:hyperlink>
            <w:r>
              <w:rPr/>
              <w:t xml:space="preserve">, </w:t>
            </w:r>
            <w:hyperlink r:id="rId38">
              <w:r>
                <w:rPr>
                  <w:rStyle w:val="InternetLink"/>
                </w:rPr>
                <w:t>April 9, 2025</w:t>
              </w:r>
            </w:hyperlink>
            <w:r>
              <w:rPr/>
              <w:t xml:space="preserve"> (with respect to Item 8.01 only), </w:t>
            </w:r>
            <w:hyperlink r:id="rId39">
              <w:r>
                <w:rPr>
                  <w:rStyle w:val="InternetLink"/>
                </w:rPr>
                <w:t>April 28, 2025</w:t>
              </w:r>
            </w:hyperlink>
            <w:r>
              <w:rPr/>
              <w:t xml:space="preserve">, </w:t>
            </w:r>
            <w:hyperlink r:id="rId40">
              <w:r>
                <w:rPr>
                  <w:rStyle w:val="InternetLink"/>
                </w:rPr>
                <w:t>May 1, 2025</w:t>
              </w:r>
            </w:hyperlink>
            <w:r>
              <w:rPr/>
              <w:t xml:space="preserve">, </w:t>
            </w:r>
            <w:hyperlink r:id="rId41">
              <w:r>
                <w:rPr>
                  <w:rStyle w:val="InternetLink"/>
                </w:rPr>
                <w:t>May 15, 2025</w:t>
              </w:r>
            </w:hyperlink>
            <w:r>
              <w:rPr/>
              <w:t xml:space="preserve">, </w:t>
            </w:r>
            <w:hyperlink r:id="rId42">
              <w:r>
                <w:rPr>
                  <w:rStyle w:val="InternetLink"/>
                </w:rPr>
                <w:t>June 26, 2025</w:t>
              </w:r>
            </w:hyperlink>
            <w:r>
              <w:rPr/>
              <w:t xml:space="preserve">, </w:t>
            </w:r>
            <w:hyperlink r:id="rId43">
              <w:r>
                <w:rPr>
                  <w:rStyle w:val="InternetLink"/>
                </w:rPr>
                <w:t>July 3, 2025</w:t>
              </w:r>
            </w:hyperlink>
            <w:r>
              <w:rPr/>
              <w:t xml:space="preserve">, </w:t>
            </w:r>
            <w:hyperlink r:id="rId44">
              <w:r>
                <w:rPr>
                  <w:rStyle w:val="InternetLink"/>
                </w:rPr>
                <w:t>August 5, 2025</w:t>
              </w:r>
            </w:hyperlink>
            <w:r>
              <w:rPr/>
              <w:t xml:space="preserve">, </w:t>
            </w:r>
            <w:hyperlink r:id="rId45">
              <w:r>
                <w:rPr>
                  <w:rStyle w:val="InternetLink"/>
                </w:rPr>
                <w:t>August 14, 2025</w:t>
              </w:r>
            </w:hyperlink>
            <w:r>
              <w:rPr/>
              <w:t xml:space="preserve">, </w:t>
            </w:r>
            <w:hyperlink r:id="rId46">
              <w:r>
                <w:rPr>
                  <w:rStyle w:val="InternetLink"/>
                </w:rPr>
                <w:t>August 15, 2025</w:t>
              </w:r>
            </w:hyperlink>
            <w:r>
              <w:rPr/>
              <w:t xml:space="preserve">, </w:t>
            </w:r>
            <w:hyperlink r:id="rId47">
              <w:r>
                <w:rPr>
                  <w:rStyle w:val="InternetLink"/>
                </w:rPr>
                <w:t>August 18, 2025</w:t>
              </w:r>
            </w:hyperlink>
            <w:r>
              <w:rPr/>
              <w:t xml:space="preserve">, </w:t>
            </w:r>
            <w:hyperlink r:id="rId48">
              <w:r>
                <w:rPr>
                  <w:rStyle w:val="InternetLink"/>
                </w:rPr>
                <w:t>August 20, 2025</w:t>
              </w:r>
            </w:hyperlink>
            <w:r>
              <w:rPr/>
              <w:t xml:space="preserve"> (with respect to Item 5.02 only), </w:t>
            </w:r>
            <w:hyperlink r:id="rId49">
              <w:r>
                <w:rPr>
                  <w:rStyle w:val="InternetLink"/>
                </w:rPr>
                <w:t>September 4, 2025</w:t>
              </w:r>
            </w:hyperlink>
            <w:r>
              <w:rPr/>
              <w:t xml:space="preserve">, </w:t>
            </w:r>
            <w:hyperlink r:id="rId50">
              <w:r>
                <w:rPr>
                  <w:rStyle w:val="InternetLink"/>
                </w:rPr>
                <w:t>September 5, 2025</w:t>
              </w:r>
            </w:hyperlink>
            <w:r>
              <w:rPr/>
              <w:t xml:space="preserve">, </w:t>
            </w:r>
            <w:hyperlink r:id="rId51">
              <w:r>
                <w:rPr>
                  <w:rStyle w:val="InternetLink"/>
                </w:rPr>
                <w:t>September 11, 2025</w:t>
              </w:r>
            </w:hyperlink>
            <w:r>
              <w:rPr/>
              <w:t xml:space="preserve">, </w:t>
            </w:r>
            <w:hyperlink r:id="rId52">
              <w:r>
                <w:rPr>
                  <w:rStyle w:val="InternetLink"/>
                </w:rPr>
                <w:t>October 22, 2025</w:t>
              </w:r>
            </w:hyperlink>
            <w:r>
              <w:rPr/>
              <w:t xml:space="preserve"> (with respect to Item 8.01 only), </w:t>
            </w:r>
            <w:hyperlink r:id="rId53">
              <w:r>
                <w:rPr>
                  <w:rStyle w:val="InternetLink"/>
                </w:rPr>
                <w:t>October 23, 2025</w:t>
              </w:r>
            </w:hyperlink>
            <w:r>
              <w:rPr/>
              <w:t xml:space="preserve">, </w:t>
            </w:r>
            <w:hyperlink r:id="rId54">
              <w:r>
                <w:rPr>
                  <w:rStyle w:val="InternetLink"/>
                </w:rPr>
                <w:t>October 24, 2025</w:t>
              </w:r>
            </w:hyperlink>
            <w:r>
              <w:rPr/>
              <w:t xml:space="preserve"> (with respect to Item 8.01 only), </w:t>
            </w:r>
            <w:hyperlink r:id="rId55">
              <w:r>
                <w:rPr>
                  <w:rStyle w:val="InternetLink"/>
                </w:rPr>
                <w:t>October 31, 2025</w:t>
              </w:r>
            </w:hyperlink>
            <w:r>
              <w:rPr/>
              <w:t xml:space="preserve">, </w:t>
            </w:r>
            <w:hyperlink r:id="rId56">
              <w:r>
                <w:rPr>
                  <w:rStyle w:val="InternetLink"/>
                </w:rPr>
                <w:t>December 5, 2025</w:t>
              </w:r>
            </w:hyperlink>
            <w:r>
              <w:rPr/>
              <w:t xml:space="preserve">, </w:t>
            </w:r>
            <w:hyperlink r:id="rId57">
              <w:r>
                <w:rPr>
                  <w:rStyle w:val="InternetLink"/>
                </w:rPr>
                <w:t>December 15, 2025</w:t>
              </w:r>
            </w:hyperlink>
            <w:r>
              <w:rPr/>
              <w:t xml:space="preserve">, </w:t>
            </w:r>
            <w:hyperlink r:id="rId58">
              <w:r>
                <w:rPr>
                  <w:rStyle w:val="InternetLink"/>
                </w:rPr>
                <w:t>December 16, 2025</w:t>
              </w:r>
            </w:hyperlink>
            <w:r>
              <w:rPr/>
              <w:t xml:space="preserve"> and </w:t>
            </w:r>
            <w:hyperlink r:id="rId59">
              <w:r>
                <w:rPr>
                  <w:rStyle w:val="InternetLink"/>
                </w:rPr>
                <w:t>December 30, 2025</w:t>
              </w:r>
            </w:hyperlink>
            <w:r>
              <w:rPr/>
              <w:t>;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The description of the Company’s common stock set forth in our Current Report on </w:t>
            </w:r>
            <w:hyperlink r:id="rId60">
              <w:r>
                <w:rPr>
                  <w:rStyle w:val="InternetLink"/>
                </w:rPr>
                <w:t>Form 8-K12B</w:t>
              </w:r>
            </w:hyperlink>
            <w:r>
              <w:rPr/>
              <w:t xml:space="preserve">, filed with the SEC on January 2, 2024, as updated by the description of the Company’s common stock contained in </w:t>
            </w:r>
            <w:hyperlink r:id="rId61">
              <w:r>
                <w:rPr>
                  <w:rStyle w:val="InternetLink"/>
                </w:rPr>
                <w:t>Exhibit 4.5</w:t>
              </w:r>
            </w:hyperlink>
            <w:r>
              <w:rPr/>
              <w:t xml:space="preserve"> to our Annual Report on </w:t>
            </w:r>
            <w:hyperlink r:id="rId62">
              <w:r>
                <w:rPr>
                  <w:rStyle w:val="InternetLink"/>
                </w:rPr>
                <w:t>Form 10-K</w:t>
              </w:r>
            </w:hyperlink>
            <w:r>
              <w:rPr/>
              <w:t xml:space="preserve"> for the fiscal year ended December 31, 2024, filed with the SEC on March 31, 2025, including any amendments or reports filed for the purpose of updating such description.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Information in such future filings update and supplement the information provided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relating to us contained in this prospectus should be read together with the information in the documents incorporated by reference. Information that we file subsequent to the date of this prospectus with the SEC will automatically update and supersede the information contained in documents filed earlier with the SEC or contained in this prospectus, including information in previously filed documents or reports that have been incorporated by reference into this prospectus. Any statement so modified or superseded will not be deemed, except as so modified or superseded, to constitute a part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obtain copies, without charge, of documents incorporated by reference in this prospectus, by requesting them orally or in writing. To receive any such copy, call or write: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 E 4th St.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Austin, Texas 78702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Jeffery Spittel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409-599-5706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32" w:name="ea030375201ex-fee.htm"/>
      <w:bookmarkStart w:id="33" w:name="ksea030375201exfee"/>
      <w:bookmarkEnd w:id="32"/>
      <w:bookmarkEnd w:id="33"/>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T1 Energy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930" w:type="dxa"/>
        <w:jc w:val="left"/>
        <w:tblInd w:w="0" w:type="dxa"/>
        <w:tblLayout w:type="fixed"/>
        <w:tblCellMar>
          <w:top w:w="0" w:type="dxa"/>
          <w:left w:w="0" w:type="dxa"/>
          <w:bottom w:w="0" w:type="dxa"/>
          <w:right w:w="0" w:type="dxa"/>
        </w:tblCellMar>
      </w:tblPr>
      <w:tblGrid>
        <w:gridCol w:w="1040"/>
        <w:gridCol w:w="60"/>
        <w:gridCol w:w="800"/>
        <w:gridCol w:w="60"/>
        <w:gridCol w:w="905"/>
        <w:gridCol w:w="60"/>
        <w:gridCol w:w="575"/>
        <w:gridCol w:w="60"/>
        <w:gridCol w:w="1100"/>
        <w:gridCol w:w="60"/>
        <w:gridCol w:w="1100"/>
        <w:gridCol w:w="60"/>
        <w:gridCol w:w="240"/>
        <w:gridCol w:w="755"/>
        <w:gridCol w:w="60"/>
        <w:gridCol w:w="140"/>
        <w:gridCol w:w="1520"/>
        <w:gridCol w:w="60"/>
        <w:gridCol w:w="1040"/>
        <w:gridCol w:w="60"/>
        <w:gridCol w:w="144"/>
        <w:gridCol w:w="1031"/>
      </w:tblGrid>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104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10930" w:type="dxa"/>
            <w:gridSpan w:val="22"/>
            <w:tcBorders/>
            <w:vAlign w:val="center"/>
          </w:tcPr>
          <w:p>
            <w:pPr>
              <w:pStyle w:val="TableContents"/>
              <w:bidi w:val="0"/>
              <w:spacing w:before="0" w:after="283"/>
              <w:jc w:val="center"/>
              <w:rPr>
                <w:i/>
              </w:rPr>
            </w:pPr>
            <w:r>
              <w:rPr>
                <w:i/>
              </w:rPr>
              <w:t>Newly Registered Securities</w:t>
            </w:r>
          </w:p>
        </w:tc>
      </w:tr>
      <w:tr>
        <w:trPr/>
        <w:tc>
          <w:tcPr>
            <w:tcW w:w="104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Common Stock, par value $0.01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457(a)</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32,258,059</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4.39</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141,612,879.01</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19,556.74</w:t>
            </w:r>
          </w:p>
        </w:tc>
      </w:tr>
      <w:tr>
        <w:trPr/>
        <w:tc>
          <w:tcPr>
            <w:tcW w:w="1040" w:type="dxa"/>
            <w:tcBorders/>
            <w:vAlign w:val="center"/>
          </w:tcPr>
          <w:p>
            <w:pPr>
              <w:pStyle w:val="TableContents"/>
              <w:bidi w:val="0"/>
              <w:spacing w:before="0" w:after="283"/>
              <w:jc w:val="left"/>
              <w:rPr/>
            </w:pPr>
            <w:r>
              <w:rPr/>
              <w:t>Fees Previously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Common Stock, par value $0.01</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0.00</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875"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141,612,879.01</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19,556.74</w:t>
            </w:r>
          </w:p>
        </w:tc>
      </w:tr>
      <w:tr>
        <w:trPr/>
        <w:tc>
          <w:tcPr>
            <w:tcW w:w="6875"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0.00</w:t>
            </w:r>
          </w:p>
        </w:tc>
      </w:tr>
      <w:tr>
        <w:trPr/>
        <w:tc>
          <w:tcPr>
            <w:tcW w:w="6875"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875"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double" w:sz="8" w:space="0" w:color="000000"/>
            </w:tcBorders>
            <w:tcMar>
              <w:bottom w:w="28" w:type="dxa"/>
            </w:tcMar>
            <w:vAlign w:val="center"/>
          </w:tcPr>
          <w:p>
            <w:pPr>
              <w:pStyle w:val="TableContents"/>
              <w:bidi w:val="0"/>
              <w:spacing w:before="0" w:after="283"/>
              <w:jc w:val="left"/>
              <w:rPr/>
            </w:pPr>
            <w:r>
              <w:rPr/>
              <w:t>$</w:t>
            </w:r>
          </w:p>
        </w:tc>
        <w:tc>
          <w:tcPr>
            <w:tcW w:w="1031" w:type="dxa"/>
            <w:tcBorders>
              <w:bottom w:val="double" w:sz="8" w:space="0" w:color="000000"/>
            </w:tcBorders>
            <w:tcMar>
              <w:bottom w:w="28" w:type="dxa"/>
            </w:tcMar>
            <w:vAlign w:val="center"/>
          </w:tcPr>
          <w:p>
            <w:pPr>
              <w:pStyle w:val="TableContents"/>
              <w:bidi w:val="0"/>
              <w:spacing w:before="0" w:after="283"/>
              <w:jc w:val="right"/>
              <w:rPr/>
            </w:pPr>
            <w:r>
              <w:rPr/>
              <w:t>19,556.74</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53"/>
        <w:gridCol w:w="23"/>
        <w:gridCol w:w="9929"/>
      </w:tblGrid>
      <w:tr>
        <w:trPr/>
        <w:tc>
          <w:tcPr>
            <w:tcW w:w="253"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29" w:type="dxa"/>
            <w:tcBorders/>
            <w:vAlign w:val="center"/>
          </w:tcPr>
          <w:p>
            <w:pPr>
              <w:pStyle w:val="TableContents"/>
              <w:bidi w:val="0"/>
              <w:spacing w:before="0" w:after="283"/>
              <w:jc w:val="both"/>
              <w:rPr/>
            </w:pPr>
            <w:r>
              <w:rPr/>
              <w:t>(a) Pursuant to Rule 416 under the Securities Act of 1933, as amended, this prospectus supplement also covers such additional shares as may hereafter be offered or issued with respect to the shares registered hereby resulting from stock splits, stock dividends, recapitalizations or similar capital adjustments.</w:t>
              <w:br/>
              <w:br/>
              <w:t>(b) Estimated pursuant to Rule 457(a) in accordance with Rule 457(r), solely for the purpose of calculating the registration fee, on the basis of the average of the high and low sales prices for the Common Stock on August 24, 2026, as reported on the New York Stock Exchange, in accordance with Rule 457(c).</w:t>
              <w:br/>
              <w:br/>
              <w:t>(c) Pursuant to Rule 424(g)(2) and General Instruction II.F to Form S-3, this prospectus supplement shall be deemed a final prospectus for purposes of the offering of the securities described herein.</w:t>
            </w:r>
          </w:p>
        </w:tc>
      </w:tr>
    </w:tbl>
    <w:tbl>
      <w:tblPr>
        <w:tblW w:w="10205" w:type="dxa"/>
        <w:jc w:val="left"/>
        <w:tblInd w:w="0" w:type="dxa"/>
        <w:tblLayout w:type="fixed"/>
        <w:tblCellMar>
          <w:top w:w="0" w:type="dxa"/>
          <w:left w:w="0" w:type="dxa"/>
          <w:bottom w:w="0" w:type="dxa"/>
          <w:right w:w="0" w:type="dxa"/>
        </w:tblCellMar>
      </w:tblPr>
      <w:tblGrid>
        <w:gridCol w:w="246"/>
        <w:gridCol w:w="23"/>
        <w:gridCol w:w="9936"/>
      </w:tblGrid>
      <w:tr>
        <w:trPr/>
        <w:tc>
          <w:tcPr>
            <w:tcW w:w="246"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36" w:type="dxa"/>
            <w:tcBorders/>
            <w:vAlign w:val="center"/>
          </w:tcPr>
          <w:p>
            <w:pPr>
              <w:pStyle w:val="TableContents"/>
              <w:bidi w:val="0"/>
              <w:spacing w:before="0" w:after="283"/>
              <w:jc w:val="both"/>
              <w:rPr/>
            </w:pPr>
            <w:r>
              <w:rPr/>
              <w:t>In accordance with Rules 456(b) and 457(r) under the Securities Act of 1933, as amended, T1 Energy initially deferred payment of all registration fees for the Registration Statement on Form S-3 (Registration No. 333-292857), filed on January 21, 2026. This filing fee exhibit is in connection with a final prospectus supplement dated August 28, 2026, filed by T1 Energy with the SEC pursuant to Rule 424(b) of the Securities Act.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1992243/000199224326000007/t1-20251231.htm" TargetMode="External"/><Relationship Id="rId4" Type="http://schemas.openxmlformats.org/officeDocument/2006/relationships/hyperlink" Target="http://www.sec.gov/ix?doc=/Archives/edgar/data/1992243/000121390026049667/ea0288125-10ka1_t1energy.htm" TargetMode="External"/><Relationship Id="rId5" Type="http://schemas.openxmlformats.org/officeDocument/2006/relationships/hyperlink" Target="https://www.sec.gov/ix?doc=/Archives/edgar/data/1992243/000199224326000014/t1-20260331.htm" TargetMode="External"/><Relationship Id="rId6" Type="http://schemas.openxmlformats.org/officeDocument/2006/relationships/hyperlink" Target="https://www.sec.gov/ix?doc=/Archives/edgar/data/1992243/000199224326000022/t1-20260630.htm" TargetMode="External"/><Relationship Id="rId7" Type="http://schemas.openxmlformats.org/officeDocument/2006/relationships/hyperlink" Target="http://www.sec.gov/ix?doc=/Archives/edgar/data/1992243/000121390026006322/ea0273074-8k_t1energy.htm" TargetMode="External"/><Relationship Id="rId8" Type="http://schemas.openxmlformats.org/officeDocument/2006/relationships/hyperlink" Target="http://www.sec.gov/ix?doc=/Archives/edgar/data/1992243/000121390026013301/ea0275957-8k_t1energy.htm" TargetMode="External"/><Relationship Id="rId9" Type="http://schemas.openxmlformats.org/officeDocument/2006/relationships/hyperlink" Target="http://www.sec.gov/ix?doc=/Archives/edgar/data/1992243/000121390026017944/ea0277444-8k_t1energy.htm" TargetMode="External"/><Relationship Id="rId10" Type="http://schemas.openxmlformats.org/officeDocument/2006/relationships/hyperlink" Target="http://www.sec.gov/ix?doc=/Archives/edgar/data/1992243/000121390026036817/ea0284268-8k_t1energy.htm" TargetMode="External"/><Relationship Id="rId11" Type="http://schemas.openxmlformats.org/officeDocument/2006/relationships/hyperlink" Target="http://www.sec.gov/ix?doc=/Archives/edgar/data/1992243/000121390026045173/ea0286610-8k_t1energy.htm" TargetMode="External"/><Relationship Id="rId12" Type="http://schemas.openxmlformats.org/officeDocument/2006/relationships/hyperlink" Target="http://www.sec.gov/ix?doc=/Archives/edgar/data/1992243/000121390026048030/ea0287442-8k_t1energy.htm" TargetMode="External"/><Relationship Id="rId13" Type="http://schemas.openxmlformats.org/officeDocument/2006/relationships/hyperlink" Target="http://www.sec.gov/ix?doc=/Archives/edgar/data/1992243/000121390026065997/ea0293886-8k_t1energy.htm" TargetMode="External"/><Relationship Id="rId14" Type="http://schemas.openxmlformats.org/officeDocument/2006/relationships/hyperlink" Target="http://www.sec.gov/ix?doc=/Archives/edgar/data/1992243/000121390026069670/ea0295062-8k_t1energy.htm" TargetMode="External"/><Relationship Id="rId15" Type="http://schemas.openxmlformats.org/officeDocument/2006/relationships/hyperlink" Target="http://www.sec.gov/ix?doc=/Archives/edgar/data/1992243/000121390026072832/ea0295645-8k_t1energy.htm" TargetMode="External"/><Relationship Id="rId16" Type="http://schemas.openxmlformats.org/officeDocument/2006/relationships/hyperlink" Target="https://www.sec.gov/ix?doc=/Archives/edgar/data/1992243/000121390026081970/ea0299400-8k_t1energy.htm" TargetMode="External"/><Relationship Id="rId17" Type="http://schemas.openxmlformats.org/officeDocument/2006/relationships/hyperlink" Target="https://www.sec.gov/ix?doc=/Archives/edgar/data/1992243/000121390026081974/ea0299450-8k_t1energy.htm" TargetMode="External"/><Relationship Id="rId18" Type="http://schemas.openxmlformats.org/officeDocument/2006/relationships/hyperlink" Target="http://www.sec.gov/ix?doc=/Archives/edgar/data/1992243/000121390026083033/ea0299711-8k_t1energy.htm" TargetMode="External"/><Relationship Id="rId19" Type="http://schemas.openxmlformats.org/officeDocument/2006/relationships/hyperlink" Target="http://www.sec.gov/ix?doc=/Archives/edgar/data/1992243/000121390026084067/ea0299867-8k_t1energy.htm" TargetMode="External"/><Relationship Id="rId20" Type="http://schemas.openxmlformats.org/officeDocument/2006/relationships/hyperlink" Target="https://www.sec.gov/ix?doc=/Archives/edgar/data/1992243/000121390026086689/ea0301011-8k_t1energy.htm" TargetMode="External"/><Relationship Id="rId21" Type="http://schemas.openxmlformats.org/officeDocument/2006/relationships/hyperlink" Target="http://www.sec.gov/ix?doc=/Archives/edgar/data/1992243/000121390026058457/ea0289524-02.htm" TargetMode="External"/><Relationship Id="rId22" Type="http://schemas.openxmlformats.org/officeDocument/2006/relationships/hyperlink" Target="http://www.sec.gov/ix?doc=/Archives/edgar/data/1992243/000199224324000003/freyr-20240102.htm" TargetMode="External"/><Relationship Id="rId23" Type="http://schemas.openxmlformats.org/officeDocument/2006/relationships/hyperlink" Target="http://www.sec.gov/Archives/edgar/data/1992243/000199224326000007/ex48-q42025.htm" TargetMode="External"/><Relationship Id="rId24" Type="http://schemas.openxmlformats.org/officeDocument/2006/relationships/hyperlink" Target="http://www.sec.gov/ix?doc=/Archives/edgar/data/1992243/000199224326000007/t1-20251231.htm" TargetMode="External"/><Relationship Id="rId25" Type="http://schemas.openxmlformats.org/officeDocument/2006/relationships/image" Target="media/image1.jpeg"/><Relationship Id="rId26" Type="http://schemas.openxmlformats.org/officeDocument/2006/relationships/hyperlink" Target="https://www.sec.gov/ix?doc=/Archives/edgar/data/1992243/000199224325000010/frey-20241231.htm" TargetMode="External"/><Relationship Id="rId27" Type="http://schemas.openxmlformats.org/officeDocument/2006/relationships/hyperlink" Target="https://www.sec.gov/ix?doc=/Archives/edgar/data/1992243/000199224325000015/t1energy-20241231.htm" TargetMode="External"/><Relationship Id="rId28" Type="http://schemas.openxmlformats.org/officeDocument/2006/relationships/hyperlink" Target="https://www.sec.gov/ix?doc=/Archives/edgar/data/1992243/000199224325000021/t1-20250331.htm" TargetMode="External"/><Relationship Id="rId29" Type="http://schemas.openxmlformats.org/officeDocument/2006/relationships/hyperlink" Target="https://www.sec.gov/ix?doc=/Archives/edgar/data/1992243/000199224325000029/t1-20250331.htm" TargetMode="External"/><Relationship Id="rId30" Type="http://schemas.openxmlformats.org/officeDocument/2006/relationships/hyperlink" Target="https://www.sec.gov/ix?doc=/Archives/edgar/data/1992243/000199224325000033/t1-20250630.htm" TargetMode="External"/><Relationship Id="rId31" Type="http://schemas.openxmlformats.org/officeDocument/2006/relationships/hyperlink" Target="https://www.sec.gov/ix?doc=/Archives/edgar/data/1992243/000199224325000040/t1-20250930.htm" TargetMode="External"/><Relationship Id="rId32" Type="http://schemas.openxmlformats.org/officeDocument/2006/relationships/hyperlink" Target="https://www.sec.gov/ix?doc=/Archives/edgar/data/1992243/000121390025011494/ea023045002-8k_freyrbat.htm" TargetMode="External"/><Relationship Id="rId33" Type="http://schemas.openxmlformats.org/officeDocument/2006/relationships/hyperlink" Target="https://www.sec.gov/ix?doc=/Archives/edgar/data/1992243/000121390025014298/ea0231185-8k_freyrbat.htm" TargetMode="External"/><Relationship Id="rId34" Type="http://schemas.openxmlformats.org/officeDocument/2006/relationships/hyperlink" Target="https://www.sec.gov/ix?doc=/Archives/edgar/data/1992243/000121390025015030/ea0231365-8k_freyrbat.htm" TargetMode="External"/><Relationship Id="rId35" Type="http://schemas.openxmlformats.org/officeDocument/2006/relationships/hyperlink" Target="https://www.sec.gov/ix?doc=/Archives/edgar/data/1992243/000121390025020257/ea0232565-8k_t1energy.htm" TargetMode="External"/><Relationship Id="rId36" Type="http://schemas.openxmlformats.org/officeDocument/2006/relationships/hyperlink" Target="https://www.sec.gov/ix?doc=/Archives/edgar/data/1992243/000121390025022205/ea0233228-8ka1_t1energy.htm" TargetMode="External"/><Relationship Id="rId37" Type="http://schemas.openxmlformats.org/officeDocument/2006/relationships/hyperlink" Target="https://www.sec.gov/ix?doc=/Archives/edgar/data/1992243/000121390025024191/ea0234359-8k_t1energy.htm" TargetMode="External"/><Relationship Id="rId38" Type="http://schemas.openxmlformats.org/officeDocument/2006/relationships/hyperlink" Target="https://www.sec.gov/ix?doc=/Archives/edgar/data/1992243/000121390025030313/ea0237297-8k_t1energy.htm" TargetMode="External"/><Relationship Id="rId39" Type="http://schemas.openxmlformats.org/officeDocument/2006/relationships/hyperlink" Target="https://www.sec.gov/ix?doc=/Archives/edgar/data/1992243/000121390025035737/ea0239651-8k_t1energy.htm" TargetMode="External"/><Relationship Id="rId40" Type="http://schemas.openxmlformats.org/officeDocument/2006/relationships/hyperlink" Target="https://www.sec.gov/ix?doc=/Archives/edgar/data/1992243/000121390025038479/ea0240465-8k_t1energy.htm" TargetMode="External"/><Relationship Id="rId41" Type="http://schemas.openxmlformats.org/officeDocument/2006/relationships/hyperlink" Target="https://www.sec.gov/ix?doc=/Archives/edgar/data/1992243/000121390025043646/ea0242292-8k_t1energy.htm" TargetMode="External"/><Relationship Id="rId42" Type="http://schemas.openxmlformats.org/officeDocument/2006/relationships/hyperlink" Target="https://www.sec.gov/ix?doc=/Archives/edgar/data/1992243/000121390025058015/ea0246700-8k_t1energy.htm" TargetMode="External"/><Relationship Id="rId43" Type="http://schemas.openxmlformats.org/officeDocument/2006/relationships/hyperlink" Target="https://www.sec.gov/ix?doc=/Archives/edgar/data/1992243/000121390025061508/ea0247616-8k_t1energy.htm" TargetMode="External"/><Relationship Id="rId44" Type="http://schemas.openxmlformats.org/officeDocument/2006/relationships/hyperlink" Target="https://www.sec.gov/ix?doc=/Archives/edgar/data/1992243/000121390025072121/ea0251845-8k_t1energy.htm" TargetMode="External"/><Relationship Id="rId45" Type="http://schemas.openxmlformats.org/officeDocument/2006/relationships/hyperlink" Target="https://www.sec.gov/ix?doc=/Archives/edgar/data/1992243/000121390025076002/ea0253099-8k_t1energy.htm" TargetMode="External"/><Relationship Id="rId46" Type="http://schemas.openxmlformats.org/officeDocument/2006/relationships/hyperlink" Target="https://www.sec.gov/ix?doc=/Archives/edgar/data/1992243/000121390025077036/ea0253426-8k_t1energy.htm" TargetMode="External"/><Relationship Id="rId47" Type="http://schemas.openxmlformats.org/officeDocument/2006/relationships/hyperlink" Target="https://www.sec.gov/ix?doc=/Archives/edgar/data/1992243/000121390025077935/ea0253661-8k_t1energy.htm" TargetMode="External"/><Relationship Id="rId48" Type="http://schemas.openxmlformats.org/officeDocument/2006/relationships/hyperlink" Target="https://www.sec.gov/ix?doc=/Archives/edgar/data/1992243/000121390025078694/ea0253865-8k_t1energy.htm" TargetMode="External"/><Relationship Id="rId49" Type="http://schemas.openxmlformats.org/officeDocument/2006/relationships/hyperlink" Target="https://www.sec.gov/ix?doc=/Archives/edgar/data/1992243/000121390025084519/ea0256001-8k_t1energy.htm" TargetMode="External"/><Relationship Id="rId50" Type="http://schemas.openxmlformats.org/officeDocument/2006/relationships/hyperlink" Target="https://www.sec.gov/ix?doc=/Archives/edgar/data/1992243/000121390025085031/ea0256209-8k_t1energy.htm" TargetMode="External"/><Relationship Id="rId51" Type="http://schemas.openxmlformats.org/officeDocument/2006/relationships/hyperlink" Target="https://www.sec.gov/ix?doc=/Archives/edgar/data/1992243/000121390025086663/ea0256560-8k_t1energy.htm" TargetMode="External"/><Relationship Id="rId52" Type="http://schemas.openxmlformats.org/officeDocument/2006/relationships/hyperlink" Target="https://www.sec.gov/ix?doc=/Archives/edgar/data/1992243/000121390025101017/ea0262096-8k_t1energy.htm" TargetMode="External"/><Relationship Id="rId53" Type="http://schemas.openxmlformats.org/officeDocument/2006/relationships/hyperlink" Target="https://www.sec.gov/ix?doc=/Archives/edgar/data/1992243/000121390025101432/ea0262237-8k_t1energy.htm" TargetMode="External"/><Relationship Id="rId54" Type="http://schemas.openxmlformats.org/officeDocument/2006/relationships/hyperlink" Target="https://www.sec.gov/ix?doc=/Archives/edgar/data/1992243/000121390025101908/ea0262405-8k_t1energy.htm" TargetMode="External"/><Relationship Id="rId55" Type="http://schemas.openxmlformats.org/officeDocument/2006/relationships/hyperlink" Target="https://www.sec.gov/ix?doc=/Archives/edgar/data/1992243/000121390025104500/ea0263018-8k_t1energy.htm" TargetMode="External"/><Relationship Id="rId56" Type="http://schemas.openxmlformats.org/officeDocument/2006/relationships/hyperlink" Target="https://www.sec.gov/ix?doc=/Archives/edgar/data/1992243/000121390025118483/ea0268498-8k_t1energy.htm" TargetMode="External"/><Relationship Id="rId57" Type="http://schemas.openxmlformats.org/officeDocument/2006/relationships/hyperlink" Target="https://www.sec.gov/ix?doc=/Archives/edgar/data/1992243/000121390025121741/ea0269639-8k_t1energy.htm" TargetMode="External"/><Relationship Id="rId58" Type="http://schemas.openxmlformats.org/officeDocument/2006/relationships/hyperlink" Target="https://www.sec.gov/ix?doc=/Archives/edgar/data/1992243/000121390025122336/ea0269834-8k_t1energy.htm" TargetMode="External"/><Relationship Id="rId59" Type="http://schemas.openxmlformats.org/officeDocument/2006/relationships/hyperlink" Target="https://www.sec.gov/ix?doc=/Archives/edgar/data/1992243/000121390025126306/ea0271222-8k_t1energy.htm" TargetMode="External"/><Relationship Id="rId60" Type="http://schemas.openxmlformats.org/officeDocument/2006/relationships/hyperlink" Target="https://www.sec.gov/ix?doc=/Archives/edgar/data/1992243/000199224324000003/freyr-20240102.htm" TargetMode="External"/><Relationship Id="rId61" Type="http://schemas.openxmlformats.org/officeDocument/2006/relationships/hyperlink" Target="https://www.sec.gov/Archives/edgar/data/1992243/000199224325000010/ex45.htm" TargetMode="External"/><Relationship Id="rId62" Type="http://schemas.openxmlformats.org/officeDocument/2006/relationships/hyperlink" Target="https://www.sec.gov/ix?doc=/Archives/edgar/data/1992243/000199224325000010/frey-20241231.htm" TargetMode="External"/><Relationship Id="rId63" Type="http://schemas.openxmlformats.org/officeDocument/2006/relationships/fontTable" Target="fontTable.xml"/><Relationship Id="rId6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29554</Words>
  <Characters>156606</Characters>
  <CharactersWithSpaces>186250</CharactersWithSpaces>
  <Paragraphs>1792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