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4"/>
                <w:szCs w:val="24"/>
                <w:color w:val="auto"/>
              </w:rPr>
            </w:pPr>
          </w:p>
        </w:tc>
      </w:tr>
      <w:tr>
        <w:trPr>
          <w:trHeight w:val="43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39"/>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001-41903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93-3205861</w:t>
            </w:r>
          </w:p>
        </w:tc>
      </w:tr>
      <w:tr>
        <w:trPr>
          <w:trHeight w:val="198"/>
        </w:trPr>
        <w:tc>
          <w:tcPr>
            <w:tcW w:w="29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1211 E 4th St.</w:t>
            </w:r>
          </w:p>
        </w:tc>
        <w:tc>
          <w:tcPr>
            <w:tcW w:w="284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Austin, Texas 78702</w:t>
            </w:r>
          </w:p>
        </w:tc>
        <w:tc>
          <w:tcPr>
            <w:tcW w:w="2840" w:type="dxa"/>
            <w:vAlign w:val="bottom"/>
          </w:tcPr>
          <w:p>
            <w:pPr>
              <w:spacing w:after="0"/>
              <w:rPr>
                <w:sz w:val="19"/>
                <w:szCs w:val="19"/>
                <w:color w:val="auto"/>
              </w:rPr>
            </w:pPr>
          </w:p>
        </w:tc>
      </w:tr>
      <w:tr>
        <w:trPr>
          <w:trHeight w:val="234"/>
        </w:trPr>
        <w:tc>
          <w:tcPr>
            <w:tcW w:w="2980" w:type="dxa"/>
            <w:vAlign w:val="bottom"/>
          </w:tcPr>
          <w:p>
            <w:pPr>
              <w:spacing w:after="0"/>
              <w:rPr>
                <w:sz w:val="20"/>
                <w:szCs w:val="20"/>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409-599-5706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TE WS</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17, 2026, T1 Energy Inc. (the “Company”) completed its previously announced public offering of $184.0 million aggregate principal amount of the Company’s 4.00% Convertible Senior Notes due 2031 (the “Convertible Notes”) (including $24.0 million aggregate principal amount of Convertible Notes pursuant to the underwriters’ option to purchase additional Convertible Notes to cover over-allotments, which was exercised in full on April 15, 2026) at a public offering price of 100% of the principal amount thereof (the “Offering”). The Convertible Notes were issued pursuant to, and are governed by, an indenture, dated as of December 16, 2025 (the “Base Indenture”), between the Company and U.S. Bank Trust Company, National Association, as trustee (the “Trustee”), as amended and supplemented by the second supplemental indenture, dated as of April 17, 2026 (the “Second Supplemental Indenture,” and together with the Base Indenture, the “Indenture”), between the Company and the Trustee.</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$174.7 million, after deducting underwriting discounts and commissions and the Company’s estimated offering expenses. The Company expects to use the net proceeds from the Offering for (i) construction and development of infrastructure and purchase of production line equipment relating to Phase 1 of its G2_Austin solar cell fab with 2.1 GW of capacity and</w:t>
      </w:r>
    </w:p>
    <w:p>
      <w:pPr>
        <w:spacing w:after="0" w:line="1" w:lineRule="exact"/>
        <w:rPr>
          <w:sz w:val="20"/>
          <w:szCs w:val="20"/>
          <w:color w:val="auto"/>
        </w:rPr>
      </w:pPr>
    </w:p>
    <w:p>
      <w:pPr>
        <w:ind w:firstLine="8"/>
        <w:spacing w:after="0" w:line="260" w:lineRule="auto"/>
        <w:tabs>
          <w:tab w:leader="none" w:pos="2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purposes. The Company is targeting a larger financing solution, that includes a significant debt component, to fund the remaining balance of capital expenditures for Phase 1 of G2_Austin.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will be senior unsecured obligations of the Company and will bear interest at a rate of 4.00% per annum from and including April 17, 2026, payable semi-annually in arrears on April 15 and October 15 of each year, beginning on October 15, 2026. The Convertible Notes will mature on April 15, 2031, unless earlier repurchased, redeemed or converted.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January 15, 2031, holders may convert their Convertible Notes at their option only in certain circumstances. At any time from, and including, January 15, 2031 until the close of business on the business day immediately preceding the maturity date, the Convertible Notes will be convertible at the option of the holders. The Company will settle conversions by paying and/or delivering, as applicable, cash, shares of its common stock, or a combination of cash and shares of its common stock, at the Company’s election. The initial conversion rate is 146.9724 shares of the Company’s common stock per $1,000 principal amount of the Convertible Notes, which is equivalent to an initial conversion price of approximately $6.80 per share of common stock and represents a conversion premium of approximately 40% above the last reported sale price of $4.86 per share of the Company’s common stock on the New York Stock Exchange on April 14, 2026. If a “make-whole fundamental change” (as defined in the Indenture) occurs, or if the Company calls a holder’s Convertible Notes for redemption, then the Company will in certain circumstances increase the conversion rate for a specified period of time for holders who convert their Convertible Notes in connection with that make-whole fundamental change, or who convert their Convertible Notes that are called for such redemption.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Convertible Notes will not be redeemable prior to April 20, 2029. The Convertible Notes will be redeemable, in whole or in part (subject to certain limitations), at the Company’s option at any time, and from time to time, on or after April 20, 2029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the Company’s common stock equals or exceeds 130% of the conversion price for the Convertible Notes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then, subject to certain exceptions, holders may require the Company to repurchase their Convertible Notes at a cash repurchase price equal to the principal amount of the Convertible Notes to be repurchased, plus accrued and unpaid interest, if any, to, but excluding, the fundamental change repurchase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Convertible Notes are governed by customary terms and covenants, including that upon certain events of default, including cross-acceleration to certain other indebtedness of the Company and certain of its subsidiaries, either the Trustee or the holders of not less than 25% in aggregate principal amount of the Convertible Notes then outstanding may declare the principal amount of the Convertible Notes and accrued and unpaid interest, if any, thereon immediately due and payable. In the case of certain events of bankruptcy, insolvency or reorganization relating to the Company, the principal amount of the Convertible Notes and accrued and unpaid interest, if any, thereon will automatically become and be immediately due and payable.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description of the Indenture and the Convertible Notes is a summary and is not complete. A copy of the Base Indenture, the Second Supplemental Indenture and the form of note representing the Convertible Notes are filed herewith or incorporated by reference herein, as applicable, as Exhibits 4.1, 4.2 and 4.3, respectively, to this Current Report on Form 8-K, and are incorporated herein by reference, and the above summary is qualified by reference to the terms of the Base Indenture, the Second Supplemental Indenture and the Convertible Notes set forth in such exhibits.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Off-Balance Sheet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and sale of the Convertible Notes, the Company entered into an underwriting agreement, dated April 14, 2026 (the “Underwriting Agreement”), with Santander US Capital Markets LLC and J.P. Morgan Securities LLC, as representatives of the several underwriters named therein (the “Underwriters”). The Underwriting Agreement contains customary representations, warranties, covenants, indemnification obligations of the Company and the Underwriters, including for liabilities under the Securities Act of 1933, as amended, and other obligations of the parties. The representations, warranties and covenants contained in such agreement were made only for purposes of such agreement and as of specific dates, were solely for the benefit of the parties to such agreements, and may be subject to limitations agreed upon by the contracting parties.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Underwriting Agreement is a summary and is not complete. A copy of the Underwriting Agreement is filed as Exhibit 1.1 to this Current Report on Form 8-K, and is incorporated herein by reference, and the above summary is qualified by reference to the terms of the Underwriting Agreement as set forth in such exhibit.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opinion of Skadden, Arps, Slate, Meagher &amp; Flom LLP, relating to the validity of the Convertible Notes and the common stock underlying the Convertible Notes in connection with the Offering, is filed herewith as Exhibit 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report that do not relate to matters of historical fact should be considered forward-looking statements, including without limitation with respect to the anticipated use of proceeds from the Offering and the Company’s target to finance the remaining balance of its capital expenditures relating to Phase 1 of G_2 Austin.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Important factors include, but are not limited to, those discussed under the caption “Risk Factors” in the Company’s Annual Report on Form 10-K for the year ended December 31, 2025, filed with the Securities and Exchange Commission (the “SEC”) on March 31, 2026, and in the Company’s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its internal control over financial reporting or otherwise maintain effective internal control over financial reporting; (ix) qualify for the advanced manufacturing production credit under Section 45X of the Internal Revenue Code of 1986; and (x) rely on third-party warranties; (2) the concentration of the Company’s operations in Texas and its dependence on a limited number of suppliers; (3) changes adversely affecting the flow of components and materials from international vendors, the costs of raw materials, components, equipment, and machinery; (4) general economic and geopolitical conditions; (5) changes in applicable laws or regulations, including environmental, export control and tax laws and incentives and renewable energy targets, as well as international trade policies, including tariffs, on the Company’s products and its competitive position; (6) the outcome of any legal proceedings relating to the Company’s products and services, including intellectual property or product liability claims, commercial or contractual disputes, warranty claims, and other proceedings; and (7) the capital-intensive nature of the Company’s business and its ability to raise additional capital on attractive terms or service its debt. Forward-looking statements speak only as of the date of this report and are based on information available to the Company as of the date of this report, and the Company assumes no obligation to update such forward-looking statements, all of which are expressly qualified by the statements in this section, whether as a result of new information, future events or otherwise,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Underwriting Agreement, dated as of April 14, 2026, among T1 Energy Inc. and Santander US Capital Markets LLC and J.P. Morgan</w:t>
            </w: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as representatives of the Underwriters.</w:t>
            </w:r>
          </w:p>
        </w:tc>
        <w:tc>
          <w:tcPr>
            <w:tcW w:w="6140" w:type="dxa"/>
            <w:vAlign w:val="bottom"/>
            <w:tcBorders>
              <w:bottom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Indenture, dated as of December 16, 2025, between T1 Energy Inc. and U.S. Bank Trust Company, National Association, as trustee.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 Supplemental Indenture, dated as of April 17, 2026, between T1 Energy Inc. and U.S. Bank Trust Company, National Association,</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trustee.</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4.00% Convertible Senior Note due 2031 (included in Exhibit 4.2).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5580" w:right="1440" w:hanging="5572"/>
        <w:spacing w:after="0" w:line="657"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the Company’s Current Report on Form 8-K, filed with the SEC on December 16, 2025.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141"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Joseph Evan Calio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Dated: April 17,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$160,000,000 4.00% Convertible Senior Notes due 2031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14,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antander</w:t>
      </w:r>
      <w:r>
        <w:rPr>
          <w:rFonts w:ascii="Times New Roman" w:cs="Times New Roman" w:eastAsia="Times New Roman" w:hAnsi="Times New Roman"/>
          <w:sz w:val="18"/>
          <w:szCs w:val="18"/>
          <w:color w:val="auto"/>
        </w:rPr>
        <w:t xml:space="preserve"> US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arkets</w:t>
      </w:r>
      <w:r>
        <w:rPr>
          <w:rFonts w:ascii="Times New Roman" w:cs="Times New Roman" w:eastAsia="Times New Roman" w:hAnsi="Times New Roman"/>
          <w:sz w:val="18"/>
          <w:szCs w:val="18"/>
          <w:color w:val="auto"/>
        </w:rPr>
        <w:t xml:space="preserve"> LLC (“</w:t>
      </w:r>
      <w:r>
        <w:rPr>
          <w:rFonts w:ascii="Times New Roman" w:cs="Times New Roman" w:eastAsia="Times New Roman" w:hAnsi="Times New Roman"/>
          <w:sz w:val="18"/>
          <w:szCs w:val="18"/>
          <w:b w:val="1"/>
          <w:bCs w:val="1"/>
          <w:color w:val="auto"/>
        </w:rPr>
        <w:t>Santander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437 Madison Avenue,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 (“</w:t>
      </w:r>
      <w:r>
        <w:rPr>
          <w:rFonts w:ascii="Times New Roman" w:cs="Times New Roman" w:eastAsia="Times New Roman" w:hAnsi="Times New Roman"/>
          <w:sz w:val="18"/>
          <w:szCs w:val="18"/>
          <w:b w:val="1"/>
          <w:bCs w:val="1"/>
          <w:color w:val="auto"/>
        </w:rPr>
        <w:t>J.P. Morgan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firstLine="656"/>
        <w:spacing w:after="0" w:line="254"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T1 Energy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the several Underwriters named in Schedule A 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to issue and sell to the several Underwriters $160,000,000 principal amount of 4.00% Convertible Senior Notes due 2031 of the Company (the “</w:t>
      </w:r>
      <w:r>
        <w:rPr>
          <w:rFonts w:ascii="Times New Roman" w:cs="Times New Roman" w:eastAsia="Times New Roman" w:hAnsi="Times New Roman"/>
          <w:sz w:val="18"/>
          <w:szCs w:val="18"/>
          <w:b w:val="1"/>
          <w:bCs w:val="1"/>
          <w:color w:val="auto"/>
        </w:rPr>
        <w:t>Underwritten Securities</w:t>
      </w:r>
      <w:r>
        <w:rPr>
          <w:rFonts w:ascii="Times New Roman" w:cs="Times New Roman" w:eastAsia="Times New Roman" w:hAnsi="Times New Roman"/>
          <w:sz w:val="18"/>
          <w:szCs w:val="18"/>
          <w:color w:val="auto"/>
        </w:rPr>
        <w:t>”) and, at the option of the Underwriters, up to an additional $24,000,000 principal amount of 4.00% Convertible Senior Notes due 2031 of the Company (the “</w:t>
      </w:r>
      <w:r>
        <w:rPr>
          <w:rFonts w:ascii="Times New Roman" w:cs="Times New Roman" w:eastAsia="Times New Roman" w:hAnsi="Times New Roman"/>
          <w:sz w:val="18"/>
          <w:szCs w:val="18"/>
          <w:b w:val="1"/>
          <w:bCs w:val="1"/>
          <w:color w:val="auto"/>
        </w:rPr>
        <w:t>Option Securities</w:t>
      </w:r>
      <w:r>
        <w:rPr>
          <w:rFonts w:ascii="Times New Roman" w:cs="Times New Roman" w:eastAsia="Times New Roman" w:hAnsi="Times New Roman"/>
          <w:sz w:val="18"/>
          <w:szCs w:val="18"/>
          <w:color w:val="auto"/>
        </w:rPr>
        <w:t>”). The Underwritten Securities and the Option Securities are herein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convertible into cash, shares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a combination of cash and shares of Common Stock at the option of the Company, as set forth in the Indenture (as defined below). The Securities will be issued pursuant to an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dated as of December 16, 2025, as supplemented by a second supplemental indenture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as so supplemented,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dated as of the Closing Date, in each case,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If no other Underwriters are listed on Schedule A hereto, all references to the Representatives and the Underwriters shall refer only to those identified above.</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(a) The Company represents and warrants to, and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4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S-3 (No. 333-292857), including a related prospectus or prospectuses, covering the registration of the Securities under the Act, which has become effective.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such registration statement as of the time as of which such registration statement was declared effective by the Commission or has become effective upon filing pursuant to Rule 462(c). For purposes of this definition, 430B Information shall be considered to be included in the Registration Statement as of the time specified in Rule 430B.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430B(e) or retroactively deemed to be a part of the Registration Statement pursuant to Rule 430B(f) of the rules and regulations promulgated under the Act.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430C of the rules and regulations promulgated under the Act.</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5:15 P.M. (Eastern time) on the date of this Agreement.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defined in Section 3 hereof.</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Securities and otherwise satisfies Section 10(a) of the Act.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as amended, and all rules and regulations promulgated thereunder or implementing the provisions thereof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Trust Indenture Act, the Rules and Regulations, the auditing principles, rules, standards and practices applicable to auditors of “issuers” (as defined in Sarbanes-Oxley) promulgated or approved by the Public Company Accounting Oversight Board and the rules of The New York Stock Exchange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such form of prospectus (including a prospectus supplement) is filed with the Commission pursuant to Rule 424(b) and not retroactively.</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223" w:lineRule="exact"/>
        <w:rPr>
          <w:sz w:val="20"/>
          <w:szCs w:val="20"/>
          <w:color w:val="auto"/>
        </w:rPr>
      </w:pPr>
    </w:p>
    <w:p>
      <w:pPr>
        <w:jc w:val="both"/>
        <w:ind w:firstLine="324"/>
        <w:spacing w:after="0" w:line="253" w:lineRule="auto"/>
        <w:tabs>
          <w:tab w:leader="none" w:pos="5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Act Requirements</w:t>
      </w:r>
      <w:r>
        <w:rPr>
          <w:rFonts w:ascii="Times New Roman" w:cs="Times New Roman" w:eastAsia="Times New Roman" w:hAnsi="Times New Roman"/>
          <w:sz w:val="18"/>
          <w:szCs w:val="18"/>
          <w:color w:val="auto"/>
        </w:rPr>
        <w:t>. (i)(A) At the time the Registration Statement initially became effective, (B)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amendment thereto for the purposes of complying with Section 10(a)(3) of the Act (whether by post-effective amendment, incorporated report or form of prospectus) and (C)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8(b) hereof.</w:t>
      </w: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6" w:name="page7"/>
    <w:bookmarkEnd w:id="6"/>
    <w:p>
      <w:pPr>
        <w:jc w:val="both"/>
        <w:ind w:left="-324" w:firstLine="324"/>
        <w:spacing w:after="0" w:line="257"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Shelf Registration Statement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i w:val="1"/>
          <w:iCs w:val="1"/>
          <w:color w:val="auto"/>
        </w:rPr>
        <w:t xml:space="preserve"> Well-Known Seasoned Issuer Status</w:t>
      </w:r>
      <w:r>
        <w:rPr>
          <w:rFonts w:ascii="Times New Roman" w:cs="Times New Roman" w:eastAsia="Times New Roman" w:hAnsi="Times New Roman"/>
          <w:sz w:val="18"/>
          <w:szCs w:val="18"/>
          <w:color w:val="auto"/>
        </w:rPr>
        <w:t>. (A) At the time of initial filing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 known seasoned issuer” as defined in Rule 405, including not having been an “ineligible issuer” as defined in Rule 405.</w:t>
      </w:r>
    </w:p>
    <w:p>
      <w:pPr>
        <w:spacing w:after="0" w:line="182" w:lineRule="exact"/>
        <w:rPr>
          <w:sz w:val="20"/>
          <w:szCs w:val="20"/>
          <w:color w:val="auto"/>
        </w:rPr>
      </w:pPr>
    </w:p>
    <w:p>
      <w:pPr>
        <w:jc w:val="both"/>
        <w:ind w:left="-324" w:firstLine="324"/>
        <w:spacing w:after="0" w:line="253" w:lineRule="auto"/>
        <w:tabs>
          <w:tab w:leader="none" w:pos="2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Automatic Shelf Registration Statement</w:t>
      </w:r>
      <w:r>
        <w:rPr>
          <w:rFonts w:ascii="Times New Roman" w:cs="Times New Roman" w:eastAsia="Times New Roman" w:hAnsi="Times New Roman"/>
          <w:sz w:val="18"/>
          <w:szCs w:val="18"/>
          <w:color w:val="auto"/>
        </w:rPr>
        <w:t>. The Registration Statement is an “automatic shelf registration statement,”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405, that initially became effective within three years of the date of this Agreement. If immediately prior to the Renewal Deadline (as hereinafter defined), any of the Securities remain unsold by the Underwriters, the Company will prior to the Renewal Deadline file, if it has not already done so and is eligible to do so, a new automatic shelf registration statement relating to the Securities, in a form satisfactory to the Underwriters. If the Company is no longer eligible to file an automatic shelf registration statement, the Company will prior to the Renewal Deadline, if it has not already done so, file a new shelf registration statement relating to the Securities, in a form satisfactory to the Underwriters, and will use its best efforts to cause such registration statement to be declared effective within 180 days after the Renewal Deadline. The Company will take all other action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means the third anniversary of the initial effective time of the Registration Statement.</w:t>
      </w:r>
    </w:p>
    <w:p>
      <w:pPr>
        <w:spacing w:after="0" w:line="191" w:lineRule="exact"/>
        <w:rPr>
          <w:rFonts w:ascii="Times New Roman" w:cs="Times New Roman" w:eastAsia="Times New Roman" w:hAnsi="Times New Roman"/>
          <w:sz w:val="18"/>
          <w:szCs w:val="18"/>
          <w:color w:val="auto"/>
        </w:rPr>
      </w:pPr>
    </w:p>
    <w:p>
      <w:pPr>
        <w:jc w:val="both"/>
        <w:ind w:left="-324" w:firstLine="324"/>
        <w:spacing w:after="0" w:line="254"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to Use Automatic Shelf Registration Form</w:t>
      </w:r>
      <w:r>
        <w:rPr>
          <w:rFonts w:ascii="Times New Roman" w:cs="Times New Roman" w:eastAsia="Times New Roman" w:hAnsi="Times New Roman"/>
          <w:sz w:val="18"/>
          <w:szCs w:val="18"/>
          <w:color w:val="auto"/>
        </w:rPr>
        <w:t>. The Company has not received from the Commission any notice pursuant to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401(g)(2) objecting to use of the automatic shelf registration statement form. If at any time when Securities remain unsold by the Underwriters the Company receives from the Commission a notice pursuant to Rule 401(g)(2) or otherwise ceases to be eligible to use the automatic shelf registration statement form, the Company will (i) promptly notify the Underwriters, (ii) promptly file a new registration statement or post-effective amendment on the proper form relating to the Securities, in a form satisfactory to the Underwriters, (iii) use its best efforts to cause such registration statement or post-effective amendment to be declared effective as soon as practicable, and (iv) promptly notify the Underwriters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185" w:lineRule="exact"/>
        <w:rPr>
          <w:rFonts w:ascii="Times New Roman" w:cs="Times New Roman" w:eastAsia="Times New Roman" w:hAnsi="Times New Roman"/>
          <w:sz w:val="18"/>
          <w:szCs w:val="18"/>
          <w:color w:val="auto"/>
        </w:rPr>
      </w:pPr>
    </w:p>
    <w:p>
      <w:pPr>
        <w:ind w:left="-324" w:right="20" w:firstLine="324"/>
        <w:spacing w:after="0" w:line="284"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Fees</w:t>
      </w:r>
      <w:r>
        <w:rPr>
          <w:rFonts w:ascii="Times New Roman" w:cs="Times New Roman" w:eastAsia="Times New Roman" w:hAnsi="Times New Roman"/>
          <w:sz w:val="18"/>
          <w:szCs w:val="18"/>
          <w:color w:val="auto"/>
        </w:rPr>
        <w:t>. The Company has paid or shall pay the required Commission filing fees relating to the Securities within the time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456(b)(1) without regard to the proviso therein and otherwise in accordance with Rules 456(b) and 457(r).</w:t>
      </w:r>
    </w:p>
    <w:p>
      <w:pPr>
        <w:spacing w:after="0" w:line="376" w:lineRule="exact"/>
        <w:rPr>
          <w:sz w:val="20"/>
          <w:szCs w:val="20"/>
          <w:color w:val="auto"/>
        </w:rPr>
      </w:pPr>
    </w:p>
    <w:p>
      <w:pPr>
        <w:ind w:left="4596"/>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7" w:name="page8"/>
    <w:bookmarkEnd w:id="7"/>
    <w:p>
      <w:pPr>
        <w:jc w:val="both"/>
        <w:ind w:left="-320" w:firstLine="320"/>
        <w:spacing w:after="0" w:line="255" w:lineRule="auto"/>
        <w:tabs>
          <w:tab w:leader="none" w:pos="2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none of the preliminary prospectus, dated April 14, 2026 (the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including the base prospectus dated January 21, 2026 (which is the most recent Statutory Prospectus distributed to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based upon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86" w:lineRule="exact"/>
        <w:rPr>
          <w:rFonts w:ascii="Times New Roman" w:cs="Times New Roman" w:eastAsia="Times New Roman" w:hAnsi="Times New Roman"/>
          <w:sz w:val="18"/>
          <w:szCs w:val="18"/>
          <w:color w:val="auto"/>
        </w:rPr>
      </w:pPr>
    </w:p>
    <w:p>
      <w:pPr>
        <w:jc w:val="both"/>
        <w:ind w:left="-320" w:firstLine="324"/>
        <w:spacing w:after="0" w:line="252" w:lineRule="auto"/>
        <w:tabs>
          <w:tab w:leader="none" w:pos="2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 Other than the Registration Statement, the Preliminary Prospectus and the Final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 (i)‎ below), other than (i) any document not constituting a prospectus pursuant to Section 2(a)(10)(a) of the Act or Rule 134 under the Act or (ii) the documents listed on Schedule B hereto, each electronic road show and any other written communications approved in writing in advance by the Representatives. Each such Issuer Free Writing Prospectus complies in all material respects with the Act, has been or will be (within the time period specified in Rule 433) filed in accordance with the Act (to the extent required thereby) and does not conflict with the information contained in the Registration Statement or the General Disclosure Package, and, when taken together with the Preliminary Prospectus accompanying, or delivered prior to delivery of, such Issuer Free Writing Prospectus, did not, and as of the Applicable Time, the Closing Date and as of the Optional Closing Date, as the case may be,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8(b)‎‎hereof.</w:t>
      </w:r>
    </w:p>
    <w:p>
      <w:pPr>
        <w:spacing w:after="0" w:line="193" w:lineRule="exact"/>
        <w:rPr>
          <w:rFonts w:ascii="Times New Roman" w:cs="Times New Roman" w:eastAsia="Times New Roman" w:hAnsi="Times New Roman"/>
          <w:sz w:val="18"/>
          <w:szCs w:val="18"/>
          <w:color w:val="auto"/>
        </w:rPr>
      </w:pPr>
    </w:p>
    <w:p>
      <w:pPr>
        <w:jc w:val="both"/>
        <w:ind w:left="-320" w:firstLine="324"/>
        <w:spacing w:after="0" w:line="257" w:lineRule="auto"/>
        <w:tabs>
          <w:tab w:leader="none" w:pos="2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Standing of the Company. </w:t>
      </w:r>
      <w:r>
        <w:rPr>
          <w:rFonts w:ascii="Times New Roman" w:cs="Times New Roman" w:eastAsia="Times New Roman" w:hAnsi="Times New Roman"/>
          <w:sz w:val="18"/>
          <w:szCs w:val="18"/>
          <w:color w:val="auto"/>
        </w:rPr>
        <w:t>The Company has been duly incorporated and is validly existing under the laws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has all requisite corporate power and corporate authority necessary to own, lease and operate its properties and to conduct its business as described in the Registration Statement, the General Disclosure Package and the Final Prospectus and to enter into and perform its obligations under this Agreement; and the Company is duly qualified to do business in all other jurisdictions in which its ownership or lease of property or the conduct of its business requires such qualification, except where the failure so to qualify would not, singly or in the aggregate, result in a Material Adverse Effect (as defined below).</w:t>
      </w:r>
    </w:p>
    <w:p>
      <w:pPr>
        <w:spacing w:after="0" w:line="182" w:lineRule="exact"/>
        <w:rPr>
          <w:rFonts w:ascii="Times New Roman" w:cs="Times New Roman" w:eastAsia="Times New Roman" w:hAnsi="Times New Roman"/>
          <w:sz w:val="18"/>
          <w:szCs w:val="18"/>
          <w:color w:val="auto"/>
        </w:rPr>
      </w:pPr>
    </w:p>
    <w:p>
      <w:pPr>
        <w:jc w:val="both"/>
        <w:ind w:left="-320" w:firstLine="324"/>
        <w:spacing w:after="0" w:line="254"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Subsidiaries. </w:t>
      </w:r>
      <w:r>
        <w:rPr>
          <w:rFonts w:ascii="Times New Roman" w:cs="Times New Roman" w:eastAsia="Times New Roman" w:hAnsi="Times New Roman"/>
          <w:sz w:val="18"/>
          <w:szCs w:val="18"/>
          <w:color w:val="auto"/>
        </w:rPr>
        <w:t>Each subsidiary of the Company has been duly incorporated or organized and is validly existing and in good standing,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concept applies, under the laws of the jurisdiction of its incorporation or organization, with power and authority (corporate and other) to own, lease and operate its properties and to conduct its business as described in the Registration Statement, the General Disclosure Package and the Final Prospectus; and each subsidiary of the Company is duly qualified to do business as a foreign corporation in good standing in all other jurisdictions in which its ownership or lease of property or the conduct of its business requires such qualification, except where the failure to so qualify or to be in good standing would not, singly or in the aggregate, result in a Material Adverse Effect; all of the issued and outstanding capital stock of each subsidiary of the Company has been duly authorized and validly issued and is fully paid and nonassessable and is not subject to any pre-emptive or similar rights; and the capital stock of each subsidiary owned by the Company, directly or through subsidiaries, is owned free from liens, encumbrances and defects.</w:t>
      </w:r>
    </w:p>
    <w:p>
      <w:pPr>
        <w:spacing w:after="0" w:line="200" w:lineRule="exact"/>
        <w:rPr>
          <w:sz w:val="20"/>
          <w:szCs w:val="20"/>
          <w:color w:val="auto"/>
        </w:rPr>
      </w:pP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8" w:name="page9"/>
    <w:bookmarkEnd w:id="8"/>
    <w:p>
      <w:pPr>
        <w:jc w:val="both"/>
        <w:ind w:left="-324" w:firstLine="324"/>
        <w:spacing w:after="0" w:line="25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Securities and all other outstanding shares of Common Stock of the Company have been validly authorized and issued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paid and nonassesable and are not subject to any preemptive or similar rights that have not been validly waived; the authorized share capital of the Company is as set forth in the Registration Statement, the General Disclosure Package and the Final Prospectus; all outstanding shares of the Company are, and, when the Securities have been duly executed and authenticated and issued and delivered as provided in the Indenture and sold and paid for by the Underwriters or purchasers procured by the Underwriters in cash of the aggregate principal amount of the Securities to the bank account of the Company (as evidenced on a bank extract of the Company), less any commissions paid to third parties or fees paid to third parties in respect of the issuance and sale of the Securities, in accordance with (as the case may be) one or several payment direction letters, in accordance with this Agreement on each Closing Date, such Securities will have been, validly issued and outstanding and will constitute valid and legally binding obligations of the Company enforceable against the Company in accordance with their terms and, in the case of the Securities, will be entitled to the benefits of the Indenture, and will conform to the information in the General Disclosure Package and to the description of such Securities contained in the Final Prospectus. Except as disclosed in the Registration Statement, the General Disclosure Package and the Final Prospectus, there are no outstanding (A) securities or obligations of the Company convertible into or exchangeable for any shares of Common Stock of the Company, (B) warrants, rights or options to sell or purchase from the Company any such shares of Common Stock or any such convertible or exchangeable securities or obligations or (C) obligations of the Company to issue or sell any shares of Common Stock, any such convertible or exchangeable securities or obligations or any such warrants, rights or options. The Company has not, directly or indirectly, offered or sold any of the Securities by means of any “prospectus” (within the meaning of the Act and the Rules and Regulations) or used any “prospectus” or made any offer (within the meaning of the Act and the Rules and Regulations) in connection with the offer or sale of the Securities, in each case other than the preliminary prospectus referred to in Section 2(a) and (c) hereof, the General Disclosure Package and the Final Prospectus. Each of this Agreement, the Indenture and the Securities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conforms in all material respects to the description thereof contained in each of the Registration Statement, the General Disclosure Package and the Final Prospectus.</w:t>
      </w:r>
    </w:p>
    <w:p>
      <w:pPr>
        <w:spacing w:after="0" w:line="189" w:lineRule="exact"/>
        <w:rPr>
          <w:rFonts w:ascii="Times New Roman" w:cs="Times New Roman" w:eastAsia="Times New Roman" w:hAnsi="Times New Roman"/>
          <w:sz w:val="18"/>
          <w:szCs w:val="18"/>
          <w:color w:val="auto"/>
        </w:rPr>
      </w:pPr>
    </w:p>
    <w:p>
      <w:pPr>
        <w:jc w:val="both"/>
        <w:ind w:left="-324" w:firstLine="324"/>
        <w:spacing w:after="0" w:line="256" w:lineRule="auto"/>
        <w:tabs>
          <w:tab w:leader="none" w:pos="2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Indenture. </w:t>
      </w:r>
      <w:r>
        <w:rPr>
          <w:rFonts w:ascii="Times New Roman" w:cs="Times New Roman" w:eastAsia="Times New Roman" w:hAnsi="Times New Roman"/>
          <w:sz w:val="18"/>
          <w:szCs w:val="18"/>
          <w:color w:val="auto"/>
        </w:rPr>
        <w:t>The Base Indenture has been duly authorized, executed and delivered by the Company and, assuming due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by the Trustee, constitutes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The Supplemental Indenture has been duly authorized by the Company and, when duly executed and delivered in accordance with its terms by each of the parties thereto, will constitute a valid and legally binding agreement of the Company enforceable against the Company in accordance with its terms, subject to the Enforceability Exceptions. The Indenture conforms in all material respects to the requirements of the Trust Indenture Act.</w:t>
      </w:r>
    </w:p>
    <w:p>
      <w:pPr>
        <w:spacing w:after="0" w:line="182" w:lineRule="exact"/>
        <w:rPr>
          <w:rFonts w:ascii="Times New Roman" w:cs="Times New Roman" w:eastAsia="Times New Roman" w:hAnsi="Times New Roman"/>
          <w:sz w:val="18"/>
          <w:szCs w:val="18"/>
          <w:color w:val="auto"/>
        </w:rPr>
      </w:pPr>
    </w:p>
    <w:p>
      <w:pPr>
        <w:jc w:val="both"/>
        <w:ind w:left="-324" w:firstLine="324"/>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Maximum Number of Underlying Securities. </w:t>
      </w:r>
      <w:r>
        <w:rPr>
          <w:rFonts w:ascii="Times New Roman" w:cs="Times New Roman" w:eastAsia="Times New Roman" w:hAnsi="Times New Roman"/>
          <w:sz w:val="18"/>
          <w:szCs w:val="18"/>
          <w:color w:val="auto"/>
        </w:rPr>
        <w:t>Upon issuance and delivery of the Securities in accordance with this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the Securities will be convertible at the option of the holder thereof into cash, shares of Common Stock, or a combination of cash and shares of Common Stock, at the Company’s election, in accordance with the terms of the Securities and the Indenture. A number of shares of Common Stock equal to the product of (x) the number of Securities (assuming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(as defined in the Indenture) of all such conversions and assuming the Underwriters exercise their option to purchase Option Securities in full) and (y) the conversion rate for the Securities (assuming the maximum increase to such conversion rate for a conversion of Securities in connection with a “</w:t>
      </w:r>
      <w:r>
        <w:rPr>
          <w:rFonts w:ascii="Times New Roman" w:cs="Times New Roman" w:eastAsia="Times New Roman" w:hAnsi="Times New Roman"/>
          <w:sz w:val="18"/>
          <w:szCs w:val="18"/>
          <w:b w:val="1"/>
          <w:bCs w:val="1"/>
          <w:color w:val="auto"/>
        </w:rPr>
        <w:t>make-whole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or a redemption of Securities) (the “</w:t>
      </w:r>
      <w:r>
        <w:rPr>
          <w:rFonts w:ascii="Times New Roman" w:cs="Times New Roman" w:eastAsia="Times New Roman" w:hAnsi="Times New Roman"/>
          <w:sz w:val="18"/>
          <w:szCs w:val="18"/>
          <w:b w:val="1"/>
          <w:bCs w:val="1"/>
          <w:color w:val="auto"/>
        </w:rPr>
        <w:t>Maximum Number of Underlying Securities</w:t>
      </w:r>
      <w:r>
        <w:rPr>
          <w:rFonts w:ascii="Times New Roman" w:cs="Times New Roman" w:eastAsia="Times New Roman" w:hAnsi="Times New Roman"/>
          <w:sz w:val="18"/>
          <w:szCs w:val="18"/>
          <w:color w:val="auto"/>
        </w:rPr>
        <w:t>”) have been duly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by the Company upon any conversions of the Securities in accordance with the terms of the Securities and the Indenture and, if and when issued upon any conversion of the Securities in accordance with the terms of the Securities and the Indenture, will be validly issued, fully paid and non-assessable; no holder of such shares will be subject to personal liability by reason of being such a holder; and the issuance of such shares upon any such conversion will not be subject to the preemptive or other similar rights of any securityholder of the Company.</w:t>
      </w:r>
    </w:p>
    <w:p>
      <w:pPr>
        <w:spacing w:after="0" w:line="200" w:lineRule="exact"/>
        <w:rPr>
          <w:sz w:val="20"/>
          <w:szCs w:val="20"/>
          <w:color w:val="auto"/>
        </w:rPr>
      </w:pPr>
    </w:p>
    <w:p>
      <w:pPr>
        <w:spacing w:after="0" w:line="210" w:lineRule="exact"/>
        <w:rPr>
          <w:sz w:val="20"/>
          <w:szCs w:val="20"/>
          <w:color w:val="auto"/>
        </w:rPr>
      </w:pPr>
    </w:p>
    <w:p>
      <w:pPr>
        <w:ind w:left="459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9" w:name="page10"/>
    <w:bookmarkEnd w:id="9"/>
    <w:p>
      <w:pPr>
        <w:jc w:val="both"/>
        <w:ind w:left="-324" w:firstLine="324"/>
        <w:spacing w:after="0" w:line="267"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Finder’s Fee. </w:t>
      </w:r>
      <w:r>
        <w:rPr>
          <w:rFonts w:ascii="Times New Roman" w:cs="Times New Roman" w:eastAsia="Times New Roman" w:hAnsi="Times New Roman"/>
          <w:sz w:val="18"/>
          <w:szCs w:val="18"/>
          <w:color w:val="auto"/>
        </w:rPr>
        <w:t>Except as disclosed in the General Disclosure Package, the Registration Statement and the Final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173" w:lineRule="exact"/>
        <w:rPr>
          <w:rFonts w:ascii="Times New Roman" w:cs="Times New Roman" w:eastAsia="Times New Roman" w:hAnsi="Times New Roman"/>
          <w:sz w:val="18"/>
          <w:szCs w:val="18"/>
          <w:color w:val="auto"/>
        </w:rPr>
      </w:pPr>
    </w:p>
    <w:p>
      <w:pPr>
        <w:jc w:val="both"/>
        <w:ind w:left="-324" w:right="20" w:firstLine="324"/>
        <w:spacing w:after="0" w:line="258"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Further Requirements. </w:t>
      </w:r>
      <w:r>
        <w:rPr>
          <w:rFonts w:ascii="Times New Roman" w:cs="Times New Roman" w:eastAsia="Times New Roman" w:hAnsi="Times New Roman"/>
          <w:sz w:val="18"/>
          <w:szCs w:val="18"/>
          <w:color w:val="auto"/>
        </w:rPr>
        <w:t>No consent, approval, authorization, or order of, or filing or registration with, any person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agency or body or any court) is required to be obtained or made by the Company for the execution, delivery and performance of this Agreement, the Indenture and the Securities (including the issuance and delivery of any Common Stock and/or the payment of any cash, in each case, due upon conversion thereof), except such as have been obtained, or made and such as may be required under state securities laws or by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324" w:firstLine="324"/>
        <w:spacing w:after="0" w:line="255" w:lineRule="auto"/>
        <w:tabs>
          <w:tab w:leader="none" w:pos="3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Except as disclosed in the General Disclosure Package, the Registration Statement and the Final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have good and marketable title to all real properties and all other properties and assets owned by them, in each case free from all liens, charges, mortgages, pledges, security interests, claims, restrictions or encumbrances of any kind and defects that would materially affect the value thereof or materially interfere with the use made or to be made thereof by them and, except as disclosed in the General Disclosure Package, the Registration Statement and the Final Prospectus, the Company and its subsidiaries hold any leased real or personal property under valid and enforceable leases with no terms or provisions that would materially interfere with the use made or to be made thereof by them. This Section 2(m) does not apply to any Intellectual Property Rights (as defined below) which are covered by the representations and warranties contained in Section 2(s) hereof.</w:t>
      </w:r>
    </w:p>
    <w:p>
      <w:pPr>
        <w:spacing w:after="0" w:line="184" w:lineRule="exact"/>
        <w:rPr>
          <w:rFonts w:ascii="Times New Roman" w:cs="Times New Roman" w:eastAsia="Times New Roman" w:hAnsi="Times New Roman"/>
          <w:sz w:val="18"/>
          <w:szCs w:val="18"/>
          <w:color w:val="auto"/>
        </w:rPr>
      </w:pPr>
    </w:p>
    <w:p>
      <w:pPr>
        <w:jc w:val="both"/>
        <w:ind w:left="-324" w:firstLine="324"/>
        <w:spacing w:after="0" w:line="253"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Defaults and Conflicts Resulting from Transaction. </w:t>
      </w:r>
      <w:r>
        <w:rPr>
          <w:rFonts w:ascii="Times New Roman" w:cs="Times New Roman" w:eastAsia="Times New Roman" w:hAnsi="Times New Roman"/>
          <w:sz w:val="18"/>
          <w:szCs w:val="18"/>
          <w:color w:val="auto"/>
        </w:rPr>
        <w:t>The execution, delivery and performance of this Agreement,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issuance and sale of the Securities (including the issuance and delivery of any shares of Common Stock and/or the payment of any cash, in each case, due upon conversion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certificate of incorporation, charter or by-laws or similar organizational documents, as applicable,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clauses (ii) and (iii) above, as would not, singly or in the aggregate, result in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05" w:lineRule="exact"/>
        <w:rPr>
          <w:sz w:val="20"/>
          <w:szCs w:val="20"/>
          <w:color w:val="auto"/>
        </w:rPr>
      </w:pPr>
    </w:p>
    <w:p>
      <w:pPr>
        <w:ind w:left="459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0" w:name="page11"/>
    <w:bookmarkEnd w:id="10"/>
    <w:p>
      <w:pPr>
        <w:jc w:val="both"/>
        <w:ind w:left="-324" w:firstLine="324"/>
        <w:spacing w:after="0" w:line="254"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Existing Defaults and Conflicts. </w:t>
      </w:r>
      <w:r>
        <w:rPr>
          <w:rFonts w:ascii="Times New Roman" w:cs="Times New Roman" w:eastAsia="Times New Roman" w:hAnsi="Times New Roman"/>
          <w:sz w:val="18"/>
          <w:szCs w:val="18"/>
          <w:color w:val="auto"/>
        </w:rPr>
        <w:t>Neither the Company nor any of its subsidiaries is (i) in violation of its respective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incorporation, charter or by-laws or similar organizational documents, as applicable; (ii) except as disclosed in the Registration Statement, the General Disclosure Package and the Final Prospectus,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or (iii) in violation of any law or statute or any judgment, order, rule or regulation of any court or arbitrator or governmental or regulatory authority, except in the case of subsections (ii) and (iii) above, for any such defaults or violation that would not, individually or in the aggregate, result in a material adverse effect on the condition (financial or otherwise), results of operations, business, management, properties or prospects of the Company and its subsidiaries, taken as a whole, or on the performance by the Company of its obligations under the Transaction Documents (as defined below)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324" w:firstLine="324"/>
        <w:spacing w:after="0" w:line="256" w:lineRule="auto"/>
        <w:tabs>
          <w:tab w:leader="none" w:pos="2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Possession of Licenses and Permits. </w:t>
      </w:r>
      <w:r>
        <w:rPr>
          <w:rFonts w:ascii="Times New Roman" w:cs="Times New Roman" w:eastAsia="Times New Roman" w:hAnsi="Times New Roman"/>
          <w:sz w:val="18"/>
          <w:szCs w:val="18"/>
          <w:color w:val="auto"/>
        </w:rPr>
        <w:t>The Company and its subsidiaries possess, and are in compliance with the terms of, all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authorizations, franchises, licenses and permits issued by appropriate federal, state, local or foreign regulatory bodies (collectively,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necessary or material to the conduct of the business now conducted or proposed in the Registration Statement, the General Disclosure Package and the Final Prospectus to be conducted by them. The Company and each of its subsidiaries are in compliance with the terms and conditions of all such Licenses and have not received any notice of proceedings relating to the revocation or modification of any Licenses that, in each case, if determined adversely to the Company or any of its subsidiaries, would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ind w:left="-324" w:firstLine="324"/>
        <w:spacing w:after="0" w:line="284"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Labor Dispute. </w:t>
      </w:r>
      <w:r>
        <w:rPr>
          <w:rFonts w:ascii="Times New Roman" w:cs="Times New Roman" w:eastAsia="Times New Roman" w:hAnsi="Times New Roman"/>
          <w:sz w:val="18"/>
          <w:szCs w:val="18"/>
          <w:color w:val="auto"/>
        </w:rPr>
        <w:t>No labor dispute with the employees of the Company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any of its subsidiaries, is imminent and that could in either case have a Material Adverse Effect.</w:t>
      </w:r>
    </w:p>
    <w:p>
      <w:pPr>
        <w:spacing w:after="0" w:line="158" w:lineRule="exact"/>
        <w:rPr>
          <w:rFonts w:ascii="Times New Roman" w:cs="Times New Roman" w:eastAsia="Times New Roman" w:hAnsi="Times New Roman"/>
          <w:sz w:val="18"/>
          <w:szCs w:val="18"/>
          <w:color w:val="auto"/>
        </w:rPr>
      </w:pPr>
    </w:p>
    <w:p>
      <w:pPr>
        <w:jc w:val="both"/>
        <w:ind w:left="-324" w:firstLine="324"/>
        <w:spacing w:after="0" w:line="252"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Possession of Intellectual Property. </w:t>
      </w:r>
      <w:r>
        <w:rPr>
          <w:rFonts w:ascii="Times New Roman" w:cs="Times New Roman" w:eastAsia="Times New Roman" w:hAnsi="Times New Roman"/>
          <w:sz w:val="18"/>
          <w:szCs w:val="18"/>
          <w:color w:val="auto"/>
        </w:rPr>
        <w:t>The Company and its subsidiaries own, possess or can acquire on reasonable terms,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service marks, trade names, other rights to inventions, know-how, trade secrets, patent rights, copyrights, software, domain names, licenses, technology, proprietary or confidential information and other intellectual property and similar rights, including registrations and applications for registration thereof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held for use in, or necessary to conduct the business now operated or proposed in the General Disclosure Package to be operated by them, except where the failure to own or possess, or the inability to acquire on reasonable terms such Intellectual Property Rights would not, individually or in the aggregate, have a Material Adverse Effect. Except as disclosed in the Registration Statement, General Disclosure Package and the Final Prospectus (i) there is no infringement, misappropriation, or other violation, nor the occurrence of any event that with notice or the passage of time would constitute an infringement, misappropriation, or other violation, by any third party of any of the Intellectual Property Rights of the Company or any of its subsidiaries; (ii) there is no pending or, to the knowledge of the Company, threatened action, suit, proceeding or claim, and the Company and its subsidiaries have not received any notice of any such action, suit, proceeding or claim (1) alleging any infringement, misappropriation or other violation of or conflict with the rights of any third party with respect to any Intellectual Property Rights or (2) challenging the Company’s or any of its subsidiary’s rights in or to, or the validity, enforceability or scope of, any Intellectual Property Rights of the Company or any of its subsidiaries; and (iii) none of the Intellectual Property Rights owned by the Company or any of its subsidiaries, or used or held for use by the Company or any of its subsidiaries to conduct the business now operated by them, has been obtained or is being used by the Company or any of its subsidiaries in violation of any contractual obligation binding on the Company or any of its subsidiaries or in a manner that infringes, misappropriates or otherwise violates the rights of any third party, except in each case covered by subsections (i) through (iii) such as would not, if determined adversely to the Company or any of its subsidiaries, individually or in the aggregate, have a Material Adverse Effect.</w:t>
      </w:r>
    </w:p>
    <w:p>
      <w:pPr>
        <w:spacing w:after="0" w:line="200" w:lineRule="exact"/>
        <w:rPr>
          <w:sz w:val="20"/>
          <w:szCs w:val="20"/>
          <w:color w:val="auto"/>
        </w:rPr>
      </w:pPr>
    </w:p>
    <w:p>
      <w:pPr>
        <w:spacing w:after="0" w:line="210" w:lineRule="exact"/>
        <w:rPr>
          <w:sz w:val="20"/>
          <w:szCs w:val="20"/>
          <w:color w:val="auto"/>
        </w:rPr>
      </w:pPr>
    </w:p>
    <w:p>
      <w:pPr>
        <w:ind w:left="459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1" w:name="page12"/>
    <w:bookmarkEnd w:id="11"/>
    <w:p>
      <w:pPr>
        <w:jc w:val="both"/>
        <w:ind w:left="-324" w:firstLine="324"/>
        <w:spacing w:after="0" w:line="252" w:lineRule="auto"/>
        <w:tabs>
          <w:tab w:leader="none" w:pos="2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Except as disclosed in the Registration Statement, the General Disclosure Package and the Final Prospectus or as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individually or in the aggregate, have a Material Adverse Effect: (A) there has been no security breach or incident, outage, violation of, unauthorized access to or disclosure of, or other compromise of or relating to the Company’s or any of its subsidiaries’ information technology and computer systems, networks, hardware, software, data and databases, including the data and information (including all personal, personally identifiable, sensitive, confidential or regulated data)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(B) neither the Company nor its subsidiaries have been notified of, or have any knowledge of any event or condition that would result in, any security breach or incident, outage, violation of, unauthorized access to or disclosure of or other compromise of their IT Systems and Data; (C) the Company and its subsidiaries have implemented and maintained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(D) the Company’s and its subsidiaries’ IT Systems and Data are adequate in all respects for, and operate and perform in all respects as required in connection with the operation of the business of the Company and its subsidiaries and are free and clear of all bugs, errors, defects, Trojan horses, time bombs, malware and other corruptants; and (E)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or to the protection of such IT Systems and Data from unauthorized use, access, misappropriation or modification.</w:t>
      </w:r>
    </w:p>
    <w:p>
      <w:pPr>
        <w:spacing w:after="0" w:line="193" w:lineRule="exact"/>
        <w:rPr>
          <w:rFonts w:ascii="Times New Roman" w:cs="Times New Roman" w:eastAsia="Times New Roman" w:hAnsi="Times New Roman"/>
          <w:sz w:val="18"/>
          <w:szCs w:val="18"/>
          <w:color w:val="auto"/>
        </w:rPr>
      </w:pPr>
    </w:p>
    <w:p>
      <w:pPr>
        <w:jc w:val="both"/>
        <w:ind w:left="-324" w:firstLine="324"/>
        <w:spacing w:after="0" w:line="252" w:lineRule="auto"/>
        <w:tabs>
          <w:tab w:leader="none" w:pos="2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Except as disclosed in the Registration Statement, the General Disclosure Package and the Final Prospectus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individually or in the aggregate have a Material Adverse Effect, (a) neither the Company nor any of its subsidiaries (i) is or has been in violation of any foreign, federal, state or local statute, law, rule, regulation, judgment, order, decree, decision, ordinance, code or other legally binding requirement (including common law) relating to the pollution, protection or restoration of the environment, wildlife or natural resources; human health or safety; or the generation, use, handling, transportation, treatment, storage, discharge, disposal or release of, or exposure to, any Hazardous Substance (as defined below)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is conducting or funding, in whole or in part, any investigation, remediation, monitoring or other corrective action pursuant to any Environmental Law, including to address any actual or suspected Hazardous Substance, (iii) has received notice of, or is subject to any action, suit, claim or proceeding alleging, any actual or potential liability under, or violation of, any Environmental Law, including with respect to any Hazardous Substance, (iv) is party to any order, decree or agreement that imposes any obligation or liability under any Environmental Law, or (v) is or has been in violation of, or has failed to obtain and maintain, any permit, license, authorization, identification number or other approval required under applicable Environmental Laws; (b) to the knowledge of the Company and its subsidiaries, there are no facts or circumstances that would reasonably be expected to result in any violation of or liability under any Environmental Law, including with respect to any Hazardous Substance; and (c) neither the Company nor any of its subsidiaries (i) is subject to any pending or, to the knowledge of the Company, threatened administrative, regulatory or judicial actions, suits, demands, demand letters, claims, liens, notices of noncompliance or violation, investigations or proceedings relating to any Environmental Law against the Company or any of its subsidiaries, nor does the Company or any of its subsidiaries know any such proceeding is contemplated, (ii) is aware of any material effect on the capital expenditures, earnings or competitive position of the Company and its subsidiaries resulting from compliance with Environmental Laws, or (iii) anticipates any material capital expenditures relating to any Environmental Laws. For purposes of this subsection, “</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 any pollutant, contaminant, petroleum and petroleum products, by-products or breakdown products, radioactive materials, asbestos, asbestos-containing materials, polychlorinated biphenyls or toxic mold, and (B) any other toxic, radioactive, ignitable, corrosive, reactive or otherwise hazardous chemical, material, waste or substance.</w:t>
      </w:r>
    </w:p>
    <w:p>
      <w:pPr>
        <w:spacing w:after="0" w:line="200" w:lineRule="exact"/>
        <w:rPr>
          <w:sz w:val="20"/>
          <w:szCs w:val="20"/>
          <w:color w:val="auto"/>
        </w:rPr>
      </w:pPr>
    </w:p>
    <w:p>
      <w:pPr>
        <w:spacing w:after="0" w:line="206" w:lineRule="exact"/>
        <w:rPr>
          <w:sz w:val="20"/>
          <w:szCs w:val="20"/>
          <w:color w:val="auto"/>
        </w:rPr>
      </w:pPr>
    </w:p>
    <w:p>
      <w:pPr>
        <w:ind w:left="4596"/>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2" w:name="page13"/>
    <w:bookmarkEnd w:id="12"/>
    <w:p>
      <w:pPr>
        <w:jc w:val="both"/>
        <w:ind w:left="4" w:firstLine="324"/>
        <w:spacing w:after="0" w:line="261" w:lineRule="auto"/>
        <w:tabs>
          <w:tab w:leader="none" w:pos="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Accurate Disclosure. </w:t>
      </w:r>
      <w:r>
        <w:rPr>
          <w:rFonts w:ascii="Times New Roman" w:cs="Times New Roman" w:eastAsia="Times New Roman" w:hAnsi="Times New Roman"/>
          <w:sz w:val="18"/>
          <w:szCs w:val="18"/>
          <w:color w:val="auto"/>
        </w:rPr>
        <w:t>The statements in the Registration Statement, the General Disclosure Package and the Final Prospectus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headings “U.S. Federal Income Tax Considerations” and “Description of Capital Stock”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179" w:lineRule="exact"/>
        <w:rPr>
          <w:rFonts w:ascii="Times New Roman" w:cs="Times New Roman" w:eastAsia="Times New Roman" w:hAnsi="Times New Roman"/>
          <w:sz w:val="18"/>
          <w:szCs w:val="18"/>
          <w:color w:val="auto"/>
        </w:rPr>
      </w:pPr>
    </w:p>
    <w:p>
      <w:pPr>
        <w:jc w:val="both"/>
        <w:ind w:left="4" w:firstLine="324"/>
        <w:spacing w:after="0" w:line="261" w:lineRule="auto"/>
        <w:tabs>
          <w:tab w:leader="none" w:pos="62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or would be expected, to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result in, or which constitutes, the stabilization or manipulation of the price of any security of the Company to facilitate the sale or resale of the Securities and will not take any action prohibited by Regulation M under the Exchange Act in connection with the distribution of the securities contemplated hereby.</w:t>
      </w:r>
    </w:p>
    <w:p>
      <w:pPr>
        <w:spacing w:after="0" w:line="179" w:lineRule="exact"/>
        <w:rPr>
          <w:rFonts w:ascii="Times New Roman" w:cs="Times New Roman" w:eastAsia="Times New Roman" w:hAnsi="Times New Roman"/>
          <w:sz w:val="18"/>
          <w:szCs w:val="18"/>
          <w:color w:val="auto"/>
        </w:rPr>
      </w:pPr>
    </w:p>
    <w:p>
      <w:pPr>
        <w:jc w:val="both"/>
        <w:ind w:left="4" w:firstLine="324"/>
        <w:spacing w:after="0" w:line="267" w:lineRule="auto"/>
        <w:tabs>
          <w:tab w:leader="none" w:pos="5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Market-Related Data. </w:t>
      </w:r>
      <w:r>
        <w:rPr>
          <w:rFonts w:ascii="Times New Roman" w:cs="Times New Roman" w:eastAsia="Times New Roman" w:hAnsi="Times New Roman"/>
          <w:sz w:val="18"/>
          <w:szCs w:val="18"/>
          <w:color w:val="auto"/>
        </w:rPr>
        <w:t>Any third-party statistical and market-related data included in the Registration Statement, a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General Disclosure Package or the Final Prospectus is based on or derived from sources that the Company believes, after reasonable inquiry, to be reliable and accurate.</w:t>
      </w:r>
    </w:p>
    <w:p>
      <w:pPr>
        <w:spacing w:after="0" w:line="173" w:lineRule="exact"/>
        <w:rPr>
          <w:rFonts w:ascii="Times New Roman" w:cs="Times New Roman" w:eastAsia="Times New Roman" w:hAnsi="Times New Roman"/>
          <w:sz w:val="18"/>
          <w:szCs w:val="18"/>
          <w:color w:val="auto"/>
        </w:rPr>
      </w:pPr>
    </w:p>
    <w:p>
      <w:pPr>
        <w:jc w:val="both"/>
        <w:ind w:left="4" w:firstLine="324"/>
        <w:spacing w:after="0" w:line="267" w:lineRule="auto"/>
        <w:tabs>
          <w:tab w:leader="none" w:pos="5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the Sarbanes-Oxley Act. </w:t>
      </w:r>
      <w:r>
        <w:rPr>
          <w:rFonts w:ascii="Times New Roman" w:cs="Times New Roman" w:eastAsia="Times New Roman" w:hAnsi="Times New Roman"/>
          <w:sz w:val="18"/>
          <w:szCs w:val="18"/>
          <w:color w:val="auto"/>
        </w:rPr>
        <w:t>There is, and has been, no failure on the part of the Company or any of the Company’s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officers, in their capacities as such, to comply with any applicable provisions of the Sarbanes-Oxley Act and the rules and regulations promulgated in connection therewith applicable to the Company as of or prior to the date hereof.</w:t>
      </w:r>
    </w:p>
    <w:p>
      <w:pPr>
        <w:spacing w:after="0" w:line="173" w:lineRule="exact"/>
        <w:rPr>
          <w:rFonts w:ascii="Times New Roman" w:cs="Times New Roman" w:eastAsia="Times New Roman" w:hAnsi="Times New Roman"/>
          <w:sz w:val="18"/>
          <w:szCs w:val="18"/>
          <w:color w:val="auto"/>
        </w:rPr>
      </w:pPr>
    </w:p>
    <w:p>
      <w:pPr>
        <w:jc w:val="both"/>
        <w:ind w:left="4" w:firstLine="324"/>
        <w:spacing w:after="0" w:line="269" w:lineRule="auto"/>
        <w:tabs>
          <w:tab w:leader="none" w:pos="60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Internal Controls. </w:t>
      </w:r>
      <w:r>
        <w:rPr>
          <w:rFonts w:ascii="Times New Roman" w:cs="Times New Roman" w:eastAsia="Times New Roman" w:hAnsi="Times New Roman"/>
          <w:sz w:val="17"/>
          <w:szCs w:val="17"/>
          <w:color w:val="auto"/>
        </w:rPr>
        <w:t>Except as disclosed in the Registration Statement, the General Disclosure Package and the Final Prospectus,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maintains a system of effective internal control (as defined under Rule 13-a15 and Rule 15d-15 of the Exchange Act and the rules and regulations promulgated thereunder) and a system of internal accounting controls (collectively, “</w:t>
      </w:r>
      <w:r>
        <w:rPr>
          <w:rFonts w:ascii="Times New Roman" w:cs="Times New Roman" w:eastAsia="Times New Roman" w:hAnsi="Times New Roman"/>
          <w:sz w:val="17"/>
          <w:szCs w:val="17"/>
          <w:b w:val="1"/>
          <w:bCs w:val="1"/>
          <w:color w:val="auto"/>
        </w:rPr>
        <w:t>Internal Controls</w:t>
      </w:r>
      <w:r>
        <w:rPr>
          <w:rFonts w:ascii="Times New Roman" w:cs="Times New Roman" w:eastAsia="Times New Roman" w:hAnsi="Times New Roman"/>
          <w:sz w:val="17"/>
          <w:szCs w:val="17"/>
          <w:color w:val="auto"/>
        </w:rPr>
        <w:t>”) sufficient to provide reasonable assurances that (i) transactions are executed in accordance with management’s general or specific authorizations, (ii) transactions are recorded as necessary to permit preparation of financial statements in conformity with U.S. Generally Accepted Accounting Principles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and to maintain accountability for assets, (iii) access to assets is permitted only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and (v) the interactive data in eXtensible Business Reporting Language included in the Registration Statement is accurate. Except as disclosed in the Registration Statement, the General Disclosure Package and the Final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Internal Controls are overseen by the Audit Committee (the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in accordance with Exchange Rules. Except as disclosed in the Registration Statement, the General Disclosure Package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Final Prospectus, the Company has not publicly disclosed or reported to the Audit Committee or the Board, and within the next 90 days the Company does not reasonably expect to publicly disclose or report to the Audit Committee or the Board, a “significant deficiency” or other “material weakness” (each, as defined in Rule 12b-2 of the Exchange Act), a change in Internal Controls or fraud involving management or other employees who have a significant role in Internal Controls, any violation of, or failure to comply with, the U.S. federal securities laws and the Exchange Rules, or any matter which, if determined adversely, would have a Material Adverse Effect.</w:t>
      </w:r>
    </w:p>
    <w:p>
      <w:pPr>
        <w:spacing w:after="0" w:line="190" w:lineRule="exact"/>
        <w:rPr>
          <w:rFonts w:ascii="Times New Roman" w:cs="Times New Roman" w:eastAsia="Times New Roman" w:hAnsi="Times New Roman"/>
          <w:sz w:val="18"/>
          <w:szCs w:val="18"/>
          <w:color w:val="auto"/>
        </w:rPr>
      </w:pPr>
    </w:p>
    <w:p>
      <w:pPr>
        <w:jc w:val="both"/>
        <w:ind w:left="4" w:firstLine="324"/>
        <w:spacing w:after="0" w:line="255" w:lineRule="auto"/>
        <w:tabs>
          <w:tab w:leader="none" w:pos="6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Except as otherwise disclosed in the Registration Statement, the General Disclosure Package and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 w:name="page14"/>
    <w:bookmarkEnd w:id="13"/>
    <w:p>
      <w:pPr>
        <w:jc w:val="both"/>
        <w:ind w:left="-324" w:firstLine="324"/>
        <w:spacing w:after="0" w:line="267" w:lineRule="auto"/>
        <w:tabs>
          <w:tab w:leader="none" w:pos="3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XBRL</w:t>
      </w:r>
      <w:r>
        <w:rPr>
          <w:rFonts w:ascii="Times New Roman" w:cs="Times New Roman" w:eastAsia="Times New Roman" w:hAnsi="Times New Roman"/>
          <w:sz w:val="18"/>
          <w:szCs w:val="18"/>
          <w:color w:val="auto"/>
        </w:rPr>
        <w:t>. The interactive data in eXtensible Business Reporting Language included or incorporated by reference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jc w:val="both"/>
        <w:ind w:left="-324" w:firstLine="324"/>
        <w:spacing w:after="0" w:line="258" w:lineRule="auto"/>
        <w:tabs>
          <w:tab w:leader="none" w:pos="3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Registered Public Accountant</w:t>
      </w:r>
      <w:r>
        <w:rPr>
          <w:rFonts w:ascii="Times New Roman" w:cs="Times New Roman" w:eastAsia="Times New Roman" w:hAnsi="Times New Roman"/>
          <w:sz w:val="18"/>
          <w:szCs w:val="18"/>
          <w:color w:val="auto"/>
        </w:rPr>
        <w:t>. KPMG LLP, which has certified certain financial statements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delivered its report with respect to the 2025 audited consolidated financial statements and schedules filed with the Commission as part of the Registration Statement and included in each of the Registration Statement, and the Final Prospectus, is an independent registered public accounting firm with respect to the Company within the meaning of the Act and the applicable rules and regulations thereunder adopted by the Commission and the Public Company Accounting Oversight Board (United States).</w:t>
      </w:r>
    </w:p>
    <w:p>
      <w:pPr>
        <w:spacing w:after="0" w:line="183" w:lineRule="exact"/>
        <w:rPr>
          <w:rFonts w:ascii="Times New Roman" w:cs="Times New Roman" w:eastAsia="Times New Roman" w:hAnsi="Times New Roman"/>
          <w:sz w:val="18"/>
          <w:szCs w:val="18"/>
          <w:color w:val="auto"/>
        </w:rPr>
      </w:pPr>
    </w:p>
    <w:p>
      <w:pPr>
        <w:jc w:val="both"/>
        <w:ind w:left="-324" w:firstLine="324"/>
        <w:spacing w:after="0" w:line="257"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Registered Public Accountant</w:t>
      </w:r>
      <w:r>
        <w:rPr>
          <w:rFonts w:ascii="Times New Roman" w:cs="Times New Roman" w:eastAsia="Times New Roman" w:hAnsi="Times New Roman"/>
          <w:sz w:val="18"/>
          <w:szCs w:val="18"/>
          <w:color w:val="auto"/>
        </w:rPr>
        <w:t>. PricewaterhouseCoopers AS, which has certified certain financial statements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and delivered its report with respect to the 2024 audited consolidated financial statements and schedules filed with the Commission as part of the Registration Statement and included in each of the Registration Statement, and the Final Prospectus, was, for the duration of its appointment as accountant for the Company and as of the date of its most recent audit report in respect of the Company’s 2024 financial statements, an independent registered public accounting firm with respect to the Company within the meaning of the Act and the applicable rules and regulations thereunder adopted by the Commission and the Public Company Accounting Oversight Board (United States).</w:t>
      </w:r>
    </w:p>
    <w:p>
      <w:pPr>
        <w:spacing w:after="0" w:line="182" w:lineRule="exact"/>
        <w:rPr>
          <w:rFonts w:ascii="Times New Roman" w:cs="Times New Roman" w:eastAsia="Times New Roman" w:hAnsi="Times New Roman"/>
          <w:sz w:val="18"/>
          <w:szCs w:val="18"/>
          <w:color w:val="auto"/>
        </w:rPr>
      </w:pPr>
    </w:p>
    <w:p>
      <w:pPr>
        <w:jc w:val="both"/>
        <w:ind w:left="-324" w:firstLine="324"/>
        <w:spacing w:after="0" w:line="256" w:lineRule="auto"/>
        <w:tabs>
          <w:tab w:leader="none" w:pos="3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disclosed in the Registration Statement, the General Disclosure Package and the Final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to the knowledge of the Company, threatened actions, suits or proceedings (including any 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their respective properties or assets or the ability of the Company to perform its obligations under the Indenture or this Agreement, or which are otherwise material in the context of the issuance of the Securities or that are required to be described in the Registration Statement or the Final Prospectus and are not so described.</w:t>
      </w:r>
    </w:p>
    <w:p>
      <w:pPr>
        <w:spacing w:after="0" w:line="182" w:lineRule="exact"/>
        <w:rPr>
          <w:rFonts w:ascii="Times New Roman" w:cs="Times New Roman" w:eastAsia="Times New Roman" w:hAnsi="Times New Roman"/>
          <w:sz w:val="18"/>
          <w:szCs w:val="18"/>
          <w:color w:val="auto"/>
        </w:rPr>
      </w:pPr>
    </w:p>
    <w:p>
      <w:pPr>
        <w:jc w:val="both"/>
        <w:ind w:left="-324" w:firstLine="324"/>
        <w:spacing w:after="0" w:line="253" w:lineRule="auto"/>
        <w:tabs>
          <w:tab w:leader="none" w:pos="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of the Company included in the Registration Statement, the General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Final Prospectus, together with the related schedules and notes, present fairly, in all material respects, the financial position of the Company and its consolidated subsidiaries as of the dates shown and their results of operations, shareholders’ equity and cash flows for the periods shown, and, except as otherwise disclosed in the Registration Statement, the General Disclosure Package and the Final Prospectus, such financial statements have been prepared in conformity with GAAP applied on a consistent basis and the schedules included in the Registration Statement present fairly, in all material respects, the information required to be stated therein. The other financial information of the Company included in each of the Registration Statement and the Final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and the Final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200" w:lineRule="exact"/>
        <w:rPr>
          <w:sz w:val="20"/>
          <w:szCs w:val="20"/>
          <w:color w:val="auto"/>
        </w:rPr>
      </w:pPr>
    </w:p>
    <w:p>
      <w:pPr>
        <w:spacing w:after="0" w:line="210"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4" w:name="page15"/>
    <w:bookmarkEnd w:id="14"/>
    <w:p>
      <w:pPr>
        <w:jc w:val="both"/>
        <w:ind w:left="-324" w:firstLine="324"/>
        <w:spacing w:after="0" w:line="252"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in Business. </w:t>
      </w:r>
      <w:r>
        <w:rPr>
          <w:rFonts w:ascii="Times New Roman" w:cs="Times New Roman" w:eastAsia="Times New Roman" w:hAnsi="Times New Roman"/>
          <w:sz w:val="18"/>
          <w:szCs w:val="18"/>
          <w:color w:val="auto"/>
        </w:rPr>
        <w:t>Since the end of the period covered by the latest audited financial statements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Final Prospectus (i) except as disclosed in the Registration Statement, the General Disclosure Package and the Final Prospectus, there has been no change, nor any development or event involving a prospective change, in the condition (financial or otherwise), results of operations, earnings, business or properties of the Company and its subsidiaries, taken as a whole, that is material and adverse, (ii) except as disclosed in or contemplated by the Registration Statement, the General Disclosure Package and the Final Prospectus, there has been no dividend or distribution of any kind declared, paid or made by the Company on any class of its shares, (iii) except as disclosed in or contemplated by the General Disclosure Package and the Final Prospectus, there has been no material adverse change in the share capital, short-term indebtedness, long-term indebtedness, net current assets or net assets of the Company or any of its subsidiaries, (iv) except as disclosed in or contemplated by the Registration Statement, the General Disclosure Package and the Final Prospectus, there has been no material transaction entered into and there is no material transaction that is probable of being entered into by the Company or any of its subsidiaries other than transactions in the ordinary course of business, (v) there has been no obligation, direct or contingent, that is material to the Company or any of its subsidiaries, taken as a whole, incurred by the Company or any of its subsidiaries, except obligations incurred in the ordinary course of business and (vi)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w:t>
      </w:r>
    </w:p>
    <w:p>
      <w:pPr>
        <w:spacing w:after="0" w:line="195" w:lineRule="exact"/>
        <w:rPr>
          <w:rFonts w:ascii="Times New Roman" w:cs="Times New Roman" w:eastAsia="Times New Roman" w:hAnsi="Times New Roman"/>
          <w:sz w:val="18"/>
          <w:szCs w:val="18"/>
          <w:color w:val="auto"/>
        </w:rPr>
      </w:pPr>
    </w:p>
    <w:p>
      <w:pPr>
        <w:jc w:val="both"/>
        <w:ind w:left="-324" w:firstLine="324"/>
        <w:spacing w:after="0" w:line="267" w:lineRule="auto"/>
        <w:tabs>
          <w:tab w:leader="none" w:pos="3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The Company is not and, after giving effect to the offering and issuance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Registration Statement, the General Disclosure Package and the Final Prospectus, will not be required to register as an “investment company” as defined in the Investment Company Act of 1940, as amended.</w:t>
      </w:r>
    </w:p>
    <w:p>
      <w:pPr>
        <w:spacing w:after="0" w:line="173"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Ratings. </w:t>
      </w:r>
      <w:r>
        <w:rPr>
          <w:rFonts w:ascii="Times New Roman" w:cs="Times New Roman" w:eastAsia="Times New Roman" w:hAnsi="Times New Roman"/>
          <w:sz w:val="18"/>
          <w:szCs w:val="18"/>
          <w:color w:val="auto"/>
        </w:rPr>
        <w:t>No “nationally recognized statistical rating organization” as such term is defined in Section 3(a)(62) of the Exchange Act (i)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(or has informed the Company that it is considering imposing) any condition (financial or otherwise) on the Company’s retaining any rating assigned to the Company or any securities of the Company or (ii) has indicated to the Company that it is considering any of the actions described in Section 7(c)(ii) hereof.</w:t>
      </w:r>
    </w:p>
    <w:p>
      <w:pPr>
        <w:spacing w:after="0" w:line="179" w:lineRule="exact"/>
        <w:rPr>
          <w:rFonts w:ascii="Times New Roman" w:cs="Times New Roman" w:eastAsia="Times New Roman" w:hAnsi="Times New Roman"/>
          <w:sz w:val="18"/>
          <w:szCs w:val="18"/>
          <w:color w:val="auto"/>
        </w:rPr>
      </w:pPr>
    </w:p>
    <w:p>
      <w:pPr>
        <w:jc w:val="both"/>
        <w:ind w:left="-324" w:firstLine="324"/>
        <w:spacing w:after="0" w:line="258"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Except as would not, individually or in the aggregate, reasonably be expected to have a Material Adverse Effect,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its subsidiaries has filed all federal, state, local and foreign tax returns required to be filed through the date of this Agreement and have paid all taxes required to be paid thereon (except as currently being contested in good faith and for which reserves required by GAAP have been created in the financial statements of the Company), and no material tax deficiency has been, or could reasonably be expected to be, asserted against the Company or any of its subsidiaries.</w:t>
      </w:r>
    </w:p>
    <w:p>
      <w:pPr>
        <w:spacing w:after="0" w:line="183" w:lineRule="exact"/>
        <w:rPr>
          <w:rFonts w:ascii="Times New Roman" w:cs="Times New Roman" w:eastAsia="Times New Roman" w:hAnsi="Times New Roman"/>
          <w:sz w:val="18"/>
          <w:szCs w:val="18"/>
          <w:color w:val="auto"/>
        </w:rPr>
      </w:pPr>
    </w:p>
    <w:p>
      <w:pPr>
        <w:jc w:val="both"/>
        <w:ind w:left="-324" w:firstLine="324"/>
        <w:spacing w:after="0" w:line="254"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are insured by insurers with appropriately rated claims paying abilities against such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risks and in such amounts as are prudent and customary for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Registration Statement, the General Disclosure Package and the Final Prospectus.</w:t>
      </w:r>
    </w:p>
    <w:p>
      <w:pPr>
        <w:spacing w:after="0" w:line="200" w:lineRule="exact"/>
        <w:rPr>
          <w:sz w:val="20"/>
          <w:szCs w:val="20"/>
          <w:color w:val="auto"/>
        </w:rPr>
      </w:pPr>
    </w:p>
    <w:p>
      <w:pPr>
        <w:spacing w:after="0" w:line="203"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5" w:name="page16"/>
    <w:bookmarkEnd w:id="15"/>
    <w:p>
      <w:pPr>
        <w:jc w:val="both"/>
        <w:ind w:left="-320" w:firstLine="324"/>
        <w:spacing w:after="0" w:line="252" w:lineRule="auto"/>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Neither the Company nor any of its subsidiaries, nor any director, officer or employee,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any of its subsidiaries, any agent,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Governmental Official</w:t>
      </w:r>
      <w:r>
        <w:rPr>
          <w:rFonts w:ascii="Times New Roman" w:cs="Times New Roman" w:eastAsia="Times New Roman" w:hAnsi="Times New Roman"/>
          <w:sz w:val="18"/>
          <w:szCs w:val="18"/>
          <w:color w:val="auto"/>
        </w:rPr>
        <w:t>”)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 Official or other person or entity. The Company and its subsidiaries and controlled affiliates have conducted their businesses in compliance with applicable anti-corruption laws and have instituted and maintain and will continue to maintain policies and procedures reasonably designed to promote and achieve compliance with all applicable anti-bribery and anti-corruption laws and with the representation and warranty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91" w:lineRule="exact"/>
        <w:rPr>
          <w:rFonts w:ascii="Times New Roman" w:cs="Times New Roman" w:eastAsia="Times New Roman" w:hAnsi="Times New Roman"/>
          <w:sz w:val="18"/>
          <w:szCs w:val="18"/>
          <w:color w:val="auto"/>
        </w:rPr>
      </w:pPr>
    </w:p>
    <w:p>
      <w:pPr>
        <w:jc w:val="both"/>
        <w:ind w:left="-320" w:firstLine="324"/>
        <w:spacing w:after="0" w:line="255"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or regulatory agency, authority or body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arbitrator involving the Company or any of its subsidiaries with respect to the Anti-Money Laundering Laws is pending or, to the knowledge of the Company and its subsidiaries, threatened.</w:t>
      </w:r>
    </w:p>
    <w:p>
      <w:pPr>
        <w:spacing w:after="0" w:line="184" w:lineRule="exact"/>
        <w:rPr>
          <w:rFonts w:ascii="Times New Roman" w:cs="Times New Roman" w:eastAsia="Times New Roman" w:hAnsi="Times New Roman"/>
          <w:sz w:val="18"/>
          <w:szCs w:val="18"/>
          <w:color w:val="auto"/>
        </w:rPr>
      </w:pPr>
    </w:p>
    <w:p>
      <w:pPr>
        <w:jc w:val="both"/>
        <w:ind w:left="-320" w:firstLine="320"/>
        <w:spacing w:after="0" w:line="252" w:lineRule="auto"/>
        <w:tabs>
          <w:tab w:leader="none" w:pos="3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Sanctions. </w:t>
      </w:r>
      <w:r>
        <w:rPr>
          <w:rFonts w:ascii="Times New Roman" w:cs="Times New Roman" w:eastAsia="Times New Roman" w:hAnsi="Times New Roman"/>
          <w:sz w:val="18"/>
          <w:szCs w:val="18"/>
          <w:color w:val="auto"/>
        </w:rPr>
        <w:t>Neither the Company nor any of its subsidiaries, nor any director, officer, or employee thereof,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or any of its subsidiaries,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 the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the Swiss Secretariat of Economic Affairs, the Hong Kong Monetary Authority, the Monetary Authority of Singapore,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Crimea, Cuba, Iran, North Korea, the so-called Donetsk People’s Republic, the so-called Luhansk People’s Republic or any other Covered Region of Ukraine identified pursuant to Executive Order 14065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or target of any Sanctions; (ii) to fund or facilitate any activities of or business in any Sanctioned Country or (iii) in any other manner that will result in a violation of Sanctions by any Person (including any Person participating in the offering, whether as underwriter, advisor, investor or otherwise). Since its date of incorporation, the Company and its subsidiaries have not knowingly engaged in, are not now knowingly engaged in, and will not engage in, any dealings or transactions with any Person, or in any country or territory, that at the time of the dealing or transaction is or was the subject or target of Sanctions.</w:t>
      </w:r>
    </w:p>
    <w:p>
      <w:pPr>
        <w:spacing w:after="0" w:line="200" w:lineRule="exact"/>
        <w:rPr>
          <w:sz w:val="20"/>
          <w:szCs w:val="20"/>
          <w:color w:val="auto"/>
        </w:rPr>
      </w:pPr>
    </w:p>
    <w:p>
      <w:pPr>
        <w:spacing w:after="0" w:line="2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6" w:name="page17"/>
    <w:bookmarkEnd w:id="16"/>
    <w:p>
      <w:pPr>
        <w:jc w:val="both"/>
        <w:ind w:left="-320" w:firstLine="324"/>
        <w:spacing w:after="0" w:line="261" w:lineRule="auto"/>
        <w:tabs>
          <w:tab w:leader="none" w:pos="3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Offerings</w:t>
      </w:r>
      <w:r>
        <w:rPr>
          <w:rFonts w:ascii="Times New Roman" w:cs="Times New Roman" w:eastAsia="Times New Roman" w:hAnsi="Times New Roman"/>
          <w:sz w:val="18"/>
          <w:szCs w:val="18"/>
          <w:color w:val="auto"/>
        </w:rPr>
        <w:t>. Except as disclosed in the Registration Statement, the General Disclosure Package and the Final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not sold, issued or distributed any Securities during the six-month period preceding the date hereof, including any issuances pursuant to Rule 144A under, or Regulation D or Regulation S of, the Act, other than Securities, if any, issued pursuant to employee benefit plans, qualified stock option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jc w:val="both"/>
        <w:ind w:left="-320" w:firstLine="324"/>
        <w:spacing w:after="0" w:line="267" w:lineRule="auto"/>
        <w:tabs>
          <w:tab w:leader="none" w:pos="3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or the Final Prospectus or to be filed as exhibits to the Registration Statement which have not been so described and filed as required.</w:t>
      </w:r>
    </w:p>
    <w:p>
      <w:pPr>
        <w:spacing w:after="0" w:line="173" w:lineRule="exact"/>
        <w:rPr>
          <w:rFonts w:ascii="Times New Roman" w:cs="Times New Roman" w:eastAsia="Times New Roman" w:hAnsi="Times New Roman"/>
          <w:sz w:val="18"/>
          <w:szCs w:val="18"/>
          <w:color w:val="auto"/>
        </w:rPr>
      </w:pPr>
    </w:p>
    <w:p>
      <w:pPr>
        <w:jc w:val="both"/>
        <w:ind w:left="-320" w:firstLine="324"/>
        <w:spacing w:after="0" w:line="267"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Lending Relationship. </w:t>
      </w:r>
      <w:r>
        <w:rPr>
          <w:rFonts w:ascii="Times New Roman" w:cs="Times New Roman" w:eastAsia="Times New Roman" w:hAnsi="Times New Roman"/>
          <w:sz w:val="18"/>
          <w:szCs w:val="18"/>
          <w:color w:val="auto"/>
        </w:rPr>
        <w:t>The Company and its subsidiaries (i) do not have any material lending or other relationship with any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affiliate of any Underwriter and (ii) does not intend to use any of the proceeds from the issuance of the Securities to repay any outstanding debt owed to any affiliate of any Underwriter.</w:t>
      </w:r>
    </w:p>
    <w:p>
      <w:pPr>
        <w:spacing w:after="0" w:line="173" w:lineRule="exact"/>
        <w:rPr>
          <w:rFonts w:ascii="Times New Roman" w:cs="Times New Roman" w:eastAsia="Times New Roman" w:hAnsi="Times New Roman"/>
          <w:sz w:val="18"/>
          <w:szCs w:val="18"/>
          <w:color w:val="auto"/>
        </w:rPr>
      </w:pPr>
    </w:p>
    <w:p>
      <w:pPr>
        <w:jc w:val="both"/>
        <w:ind w:left="-320" w:right="20" w:firstLine="324"/>
        <w:spacing w:after="0" w:line="267"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The application of the proceeds received by the Company from the issuance, sale and delivery of the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Registration Statement, the General Disclosure Package and the Final Prospectus will not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Stamp Taxes</w:t>
      </w:r>
      <w:r>
        <w:rPr>
          <w:rFonts w:ascii="Times New Roman" w:cs="Times New Roman" w:eastAsia="Times New Roman" w:hAnsi="Times New Roman"/>
          <w:sz w:val="18"/>
          <w:szCs w:val="18"/>
          <w:color w:val="auto"/>
        </w:rPr>
        <w:t>. No stamp, documentary, issuance, registration, transfer or other similar taxes or duties are payable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the Company or any of its subsidiaries to any taxing authority thereof or therein in connection with (i) the execution, delivery or consummation of this Agreement, or (ii) the resale by the Underwriters or purchasers procured by the Underwriters of the Securities in the manner contemplated herein or as contemplated by the Registration Statement, the General Disclosure Package and the Final Prospectus.</w:t>
      </w:r>
    </w:p>
    <w:p>
      <w:pPr>
        <w:spacing w:after="0" w:line="179"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utbound Investments</w:t>
      </w:r>
      <w:r>
        <w:rPr>
          <w:rFonts w:ascii="Times New Roman" w:cs="Times New Roman" w:eastAsia="Times New Roman" w:hAnsi="Times New Roman"/>
          <w:sz w:val="18"/>
          <w:szCs w:val="18"/>
          <w:color w:val="auto"/>
        </w:rPr>
        <w:t>. Neither the Company nor any of its subsidiaries is a “covered foreign person” as that term is used in the Outbound Investment Rules (as defined below).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the Underwriters to be in violation of the Outbound Investment Rules or cause the Underwriters to be legally prohibited by the Outbound Investment Rules from performing under this Agreement. For the purpose of this Agreement, “</w:t>
      </w:r>
      <w:r>
        <w:rPr>
          <w:rFonts w:ascii="Times New Roman" w:cs="Times New Roman" w:eastAsia="Times New Roman" w:hAnsi="Times New Roman"/>
          <w:sz w:val="18"/>
          <w:szCs w:val="18"/>
          <w:b w:val="1"/>
          <w:bCs w:val="1"/>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U.S. Department of the Treasury under U.S. Executive Order 14105 of August 9, 2023, or any similar law or regulation as of the date of this Agreement, and as codified at 31 C.F.R. §850.202 et seq.</w:t>
      </w:r>
    </w:p>
    <w:p>
      <w:pPr>
        <w:spacing w:after="0" w:line="200" w:lineRule="exact"/>
        <w:rPr>
          <w:sz w:val="20"/>
          <w:szCs w:val="20"/>
          <w:color w:val="auto"/>
        </w:rPr>
      </w:pPr>
    </w:p>
    <w:p>
      <w:pPr>
        <w:spacing w:after="0" w:line="20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2" w:right="339" w:bottom="1440" w:gutter="0" w:footer="0" w:header="0"/>
        </w:sectPr>
      </w:pPr>
    </w:p>
    <w:bookmarkStart w:id="17" w:name="page18"/>
    <w:bookmarkEnd w:id="17"/>
    <w:p>
      <w:pPr>
        <w:jc w:val="both"/>
        <w:ind w:firstLine="656"/>
        <w:spacing w:after="0" w:line="258" w:lineRule="auto"/>
        <w:tabs>
          <w:tab w:leader="none" w:pos="8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Sale and Delivery of Securities. </w:t>
      </w:r>
      <w:r>
        <w:rPr>
          <w:rFonts w:ascii="Times New Roman" w:cs="Times New Roman" w:eastAsia="Times New Roman" w:hAnsi="Times New Roman"/>
          <w:sz w:val="18"/>
          <w:szCs w:val="18"/>
          <w:color w:val="auto"/>
        </w:rPr>
        <w:t>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Company agrees to sell to the several Underwriters named in Schedule A hereto, and each of the Underwriters agrees, severally and not jointly, to purchase from the Company, at a purchase price equal to 95.50%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of the principal amount of the Underwritten Securities set forth opposite the name of such Underwriter in Schedule A hereto plus accrued interest, if any, from April 17, 2026 to the Closing Date. Payment for the Securities to be purchased shall be made against delivery to the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deliver the Underwritten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counsel for the Underwriters, 450 Lexington Avenue, New York, New York 10017, at 10:00 am (Eastern time), on April 17, 2026, or at such other time not later than seven full business days thereafter as the Representatives and the Company determine, such time being herein referred to as the “</w:t>
      </w:r>
      <w:r>
        <w:rPr>
          <w:rFonts w:ascii="Times New Roman" w:cs="Times New Roman" w:eastAsia="Times New Roman" w:hAnsi="Times New Roman"/>
          <w:sz w:val="18"/>
          <w:szCs w:val="18"/>
          <w:b w:val="1"/>
          <w:bCs w:val="1"/>
          <w:color w:val="auto"/>
        </w:rPr>
        <w:t>First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upon written notice from the Representatives given to the Company from time to time not more than 30 days from the date of the Final Prospectus, the Underwriters may purchase all or less than all of the Option Securities at the purchase price to be paid for the Underwritten Securities. The Company agrees to sell to the Underwriters the number of Option Securities specified in such notice and the Underwriters agree, severally and not jointly, to purchase such Option Securities. Such Option Securities shall be purchased from the Company for the account of each Underwriter in the same proportion as the number of Underwritten Securities set forth opposite such Underwriter’s name bears to the total number of Underwritten Securities (subject to adjustment by the Representatives to eliminate fractions) at the same Purchase Price plus accrued interest, if any, from April 17, 2026 to the date of payment and delivery. No Option Securities shall be sold or delivered unless the Underwritten Securities previously have been, or simultaneously are, sold and delivered. The right to purchase the Option Securities or any portion thereof may be exercised at any time and from time to time (subject to the first sentence of this paragraph) and to the extent not previously exercised may be surrendered and terminated at any time upon notice by the Representatives to the Company. Such right to purchase may be exercised solely to cover over-allotments in the sale of the Underwritten Securities by the Underwriters.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time for the delivery of and payment for the Option Securities, being herein referred to as an “</w:t>
      </w:r>
      <w:r>
        <w:rPr>
          <w:rFonts w:ascii="Times New Roman" w:cs="Times New Roman" w:eastAsia="Times New Roman" w:hAnsi="Times New Roman"/>
          <w:sz w:val="18"/>
          <w:szCs w:val="18"/>
          <w:b w:val="1"/>
          <w:bCs w:val="1"/>
          <w:color w:val="auto"/>
        </w:rPr>
        <w:t>Optional Closing Date</w:t>
      </w:r>
      <w:r>
        <w:rPr>
          <w:rFonts w:ascii="Times New Roman" w:cs="Times New Roman" w:eastAsia="Times New Roman" w:hAnsi="Times New Roman"/>
          <w:sz w:val="18"/>
          <w:szCs w:val="18"/>
          <w:color w:val="auto"/>
        </w:rPr>
        <w:t>”, which may be the First Closing Date (the First Closing Date and each Optional Closing Date, if any, being sometimes referred to as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determined by the Representatives but shall be not later than five full business days after written notice of election to purchase Option Securities is given. The Company will deliver the Option Securities being purchased on each Optional Closing Date to or as instructed by the Representatives for the accounts of the several Underwriters, in a form reasonably acceptable to the Representatives against payment of the purchase price therefore in Federal (same day) funds by wire transfer to an account at a bank acceptable to the Representatives drawn to the order of the Company, at the office of Davis Polk, noted above.</w:t>
      </w:r>
    </w:p>
    <w:p>
      <w:pPr>
        <w:spacing w:after="0" w:line="185" w:lineRule="exact"/>
        <w:rPr>
          <w:sz w:val="20"/>
          <w:szCs w:val="20"/>
          <w:color w:val="auto"/>
        </w:rPr>
      </w:pPr>
    </w:p>
    <w:p>
      <w:pPr>
        <w:ind w:firstLine="656"/>
        <w:spacing w:after="0" w:line="284" w:lineRule="auto"/>
        <w:tabs>
          <w:tab w:leader="none" w:pos="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or purchasers procured by the Underwriters propose to offer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sale to the public in the secondary market as set forth in the Final Prospectus.</w:t>
      </w:r>
    </w:p>
    <w:p>
      <w:pPr>
        <w:spacing w:after="0" w:line="15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Company</w:t>
      </w:r>
      <w:r>
        <w:rPr>
          <w:rFonts w:ascii="Times New Roman" w:cs="Times New Roman" w:eastAsia="Times New Roman" w:hAnsi="Times New Roman"/>
          <w:sz w:val="18"/>
          <w:szCs w:val="18"/>
          <w:color w:val="auto"/>
        </w:rPr>
        <w:t>. The Company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660" w:firstLine="324"/>
        <w:spacing w:after="0" w:line="267" w:lineRule="auto"/>
        <w:tabs>
          <w:tab w:leader="none" w:pos="12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Prospectuses. </w:t>
      </w:r>
      <w:r>
        <w:rPr>
          <w:rFonts w:ascii="Times New Roman" w:cs="Times New Roman" w:eastAsia="Times New Roman" w:hAnsi="Times New Roman"/>
          <w:sz w:val="18"/>
          <w:szCs w:val="18"/>
          <w:color w:val="auto"/>
        </w:rPr>
        <w:t>The Company has filed or will file each Statutory Prospectus (including the Final Prospectus) pursuant to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 424(b) not later than the second business day following the earlier of the date it is first used or the execution and delivery of this Agreement. The Company has complied and will comply with Rule 433.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left="-324" w:firstLine="324"/>
        <w:spacing w:after="0" w:line="254" w:lineRule="auto"/>
        <w:tabs>
          <w:tab w:leader="none" w:pos="2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Amendments: Response to Commission Requests. </w:t>
      </w:r>
      <w:r>
        <w:rPr>
          <w:rFonts w:ascii="Times New Roman" w:cs="Times New Roman" w:eastAsia="Times New Roman" w:hAnsi="Times New Roman"/>
          <w:sz w:val="18"/>
          <w:szCs w:val="18"/>
          <w:color w:val="auto"/>
        </w:rPr>
        <w:t>The Company will promptly advise the Representatives of any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supplement the Registration Statement or any Statutory Prospectus at any time and will offer the Representatives a reasonable opportunity to comment on any such amendment or supplement; and the Company will also advise the Representatives promptly of (i) the filing of any such amendment or supplement, (ii) any request by the Commission or its staff for any amendment to the Registration Statement, for any supplement to any Statutory Prospectus or for any additional information, pursuant to Section 8A of the Act, (iii) the institution by the Commission of any stop order proceedings in respect of the Registration Statement or the threatening of any proceeding for that purpose, pursuant to Section 8A of the Act, and (iv) the receipt by the Company of any notification with respect to the suspension of the qualification of the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p>
      <w:pPr>
        <w:spacing w:after="0" w:line="185" w:lineRule="exact"/>
        <w:rPr>
          <w:rFonts w:ascii="Times New Roman" w:cs="Times New Roman" w:eastAsia="Times New Roman" w:hAnsi="Times New Roman"/>
          <w:sz w:val="18"/>
          <w:szCs w:val="18"/>
          <w:color w:val="auto"/>
        </w:rPr>
      </w:pPr>
    </w:p>
    <w:p>
      <w:pPr>
        <w:jc w:val="both"/>
        <w:ind w:left="-324" w:firstLine="324"/>
        <w:spacing w:after="0" w:line="253" w:lineRule="auto"/>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Compliance with Securities Laws. </w:t>
      </w:r>
      <w:r>
        <w:rPr>
          <w:rFonts w:ascii="Times New Roman" w:cs="Times New Roman" w:eastAsia="Times New Roman" w:hAnsi="Times New Roman"/>
          <w:sz w:val="18"/>
          <w:szCs w:val="18"/>
          <w:color w:val="auto"/>
        </w:rPr>
        <w:t>If, at any time when a prospectus relating to the Securities is (or but for the exemption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Act by any Underwriter or dealer, any event occurs as a result of which the Final Prospectus or the General Disclosure Package as then amended or supplemented would include an untrue statement of a material fact or omit to state any material fact necessary to make the statements therein, in the light of the circumstances under which they were made, not misleading, or if any event shall occur or condition exist as a result of which the Final Prospectus or the General Disclosure Package conflicts with the information contained in the Registration Statement then on file, or if, in the opinion of counsel for the Underwriters, it is necessary to amend or supplement the Final Prospectus or the General Disclosure Package to comply with applicable law, or if it is necessary at any time to amend the Registration Statement or supplement the Final Prospectus or the General Disclosure Package to comply with the Act, the Company will promptly notify the Representatives of such event and will, subject to Section 5(b) above,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189" w:lineRule="exact"/>
        <w:rPr>
          <w:rFonts w:ascii="Times New Roman" w:cs="Times New Roman" w:eastAsia="Times New Roman" w:hAnsi="Times New Roman"/>
          <w:sz w:val="18"/>
          <w:szCs w:val="18"/>
          <w:color w:val="auto"/>
        </w:rPr>
      </w:pPr>
    </w:p>
    <w:p>
      <w:pPr>
        <w:jc w:val="both"/>
        <w:ind w:left="-324" w:firstLine="324"/>
        <w:spacing w:after="0" w:line="258" w:lineRule="auto"/>
        <w:tabs>
          <w:tab w:leader="none" w:pos="2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Before making, preparing, using, authorizing, approving, referring to or filing any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before filing any amendment or supplement to the Registration Statement or the Statutory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83"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The Company will make generally available to its security holders and the Representatives an earnings statement covering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at least 12 months beginning after the date of this Agreement and satisfying the provisions of Section 11(a) of the Act and Rule 158, provided that the Company will be deemed to have complied with such requirement by filing such earnings statement on the Commission’s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Furnishing of Prospectuses. </w:t>
      </w:r>
      <w:r>
        <w:rPr>
          <w:rFonts w:ascii="Times New Roman" w:cs="Times New Roman" w:eastAsia="Times New Roman" w:hAnsi="Times New Roman"/>
          <w:sz w:val="18"/>
          <w:szCs w:val="18"/>
          <w:color w:val="auto"/>
        </w:rPr>
        <w:t>The Company will furnish to the Representatives copies of the Registration Statement, any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Final Prospectus and all amendments and supplements to such documents, in each case, as soon as available and in such quantities as the Representatives reasonably request. The Company will pay the expenses of printing and distributing to the Underwriters all such documents.</w:t>
      </w:r>
    </w:p>
    <w:p>
      <w:pPr>
        <w:spacing w:after="0" w:line="398"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19" w:name="page20"/>
    <w:bookmarkEnd w:id="19"/>
    <w:p>
      <w:pPr>
        <w:jc w:val="both"/>
        <w:ind w:left="-324" w:firstLine="324"/>
        <w:spacing w:after="0" w:line="257"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Qualifications. </w:t>
      </w:r>
      <w:r>
        <w:rPr>
          <w:rFonts w:ascii="Times New Roman" w:cs="Times New Roman" w:eastAsia="Times New Roman" w:hAnsi="Times New Roman"/>
          <w:sz w:val="18"/>
          <w:szCs w:val="18"/>
          <w:color w:val="auto"/>
        </w:rPr>
        <w:t>The Company will use its best efforts, in cooperation with the Underwriters, to arrange for the qualification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sale under the laws of such jurisdictions as the Representatives designate and will continue such qualifications in effect so long as required for the distribution of Securities contemplated by this Agreement;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2" w:lineRule="exact"/>
        <w:rPr>
          <w:rFonts w:ascii="Times New Roman" w:cs="Times New Roman" w:eastAsia="Times New Roman" w:hAnsi="Times New Roman"/>
          <w:sz w:val="18"/>
          <w:szCs w:val="18"/>
          <w:color w:val="auto"/>
        </w:rPr>
      </w:pPr>
    </w:p>
    <w:p>
      <w:pPr>
        <w:jc w:val="both"/>
        <w:ind w:left="-324" w:firstLine="324"/>
        <w:spacing w:after="0" w:line="256"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Requirements. </w:t>
      </w:r>
      <w:r>
        <w:rPr>
          <w:rFonts w:ascii="Times New Roman" w:cs="Times New Roman" w:eastAsia="Times New Roman" w:hAnsi="Times New Roman"/>
          <w:sz w:val="18"/>
          <w:szCs w:val="18"/>
          <w:color w:val="auto"/>
        </w:rPr>
        <w:t>During the period of two years hereafter, the Company will furnish to the Representatives and, upon request,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other Underwriters, as soon as practicable after the end of each fiscal year, a copy of its annual report on Form 10-K to shareholders for such year; and the Company will furnish to the Representatives (i) as soon as available, a copy of each report on Form 10-K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EDGAR, it is not required to furnish such reports or statements to the Underwriters.</w:t>
      </w:r>
    </w:p>
    <w:p>
      <w:pPr>
        <w:spacing w:after="0" w:line="182" w:lineRule="exact"/>
        <w:rPr>
          <w:rFonts w:ascii="Times New Roman" w:cs="Times New Roman" w:eastAsia="Times New Roman" w:hAnsi="Times New Roman"/>
          <w:sz w:val="18"/>
          <w:szCs w:val="18"/>
          <w:color w:val="auto"/>
        </w:rPr>
      </w:pPr>
    </w:p>
    <w:p>
      <w:pPr>
        <w:jc w:val="both"/>
        <w:ind w:left="-324" w:firstLine="324"/>
        <w:spacing w:after="0" w:line="253" w:lineRule="auto"/>
        <w:tabs>
          <w:tab w:leader="none" w:pos="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Expenses. </w:t>
      </w:r>
      <w:r>
        <w:rPr>
          <w:rFonts w:ascii="Times New Roman" w:cs="Times New Roman" w:eastAsia="Times New Roman" w:hAnsi="Times New Roman"/>
          <w:sz w:val="18"/>
          <w:szCs w:val="18"/>
          <w:color w:val="auto"/>
        </w:rPr>
        <w:t>The Company agrees with the several Underwriters that the Company will pay all expenses incident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obligations of the Company, as the case may be, under this Agreement, including (i) costs and expenses of the Company relating to investor presentations in connection with the marketing of the Securities, (ii) fees and expenses incident to listing the Common Stock in an amount equal to the Maximum Number of Underlying Securities on the New York Stock Exchange, (iii) the costs incident to the authorization, issuance, sale, preparation and delivery of the Securities to the Underwriters and any transfer taxes payable in connection with the delivery of the Securities to the Underwriters and any shares of Common Stock issued upon conversion thereof, (iv) expenses incurred in distributing preliminary prospectuses and the Final Prospectus (including any amendments and supplements thereto) to the Underwriters, (v) costs and expenses related to the review by FINRA, if any, of the Securities (including filing fees and the fees and expenses of counsel for the Underwriters relating to such review, it being understood that the amount of such fees and expenses of counsel shall not exceed $15,000), (vi) fees and expenses of the Trustee and any paying agent (including related fees and expenses of any counsel to such parties and (vii) all expenses and application fees incurred in connection with the approval of the Securities for book-entry transfer by DTC. The Representatives agree with the Company that the several Underwriters will pay any filing fees and other disbursements and expenses of counsel to the Underwriters in connection with the performance of the obligations of the Representatives, as the case may be, under this Agreement, including the qualification of the Securities under the laws of such jurisdictions as the Representatives designate and the preparation and printing of memoranda relating thereto.</w:t>
      </w:r>
    </w:p>
    <w:p>
      <w:pPr>
        <w:spacing w:after="0" w:line="185"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2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use the net proceeds received by it in connection with this offering in the manner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Proceeds” section of the General Disclosure Package and, except as disclosed in the General Disclosure Package and the Final Prospectus, the Company does not intend to use any of the proceeds from the sale of the Securities hereunder to repay any outstanding debt owed to any Underwriter or affiliate of any Underwriter.</w:t>
      </w:r>
    </w:p>
    <w:p>
      <w:pPr>
        <w:spacing w:after="0" w:line="179"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Manipulation. </w:t>
      </w:r>
      <w:r>
        <w:rPr>
          <w:rFonts w:ascii="Times New Roman" w:cs="Times New Roman" w:eastAsia="Times New Roman" w:hAnsi="Times New Roman"/>
          <w:sz w:val="18"/>
          <w:szCs w:val="18"/>
          <w:color w:val="auto"/>
        </w:rPr>
        <w:t>The Company will not take, directly or indirectly, any action designed to or that would constitute or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stabilization or manipulation of the price of any securities of the Company to facilitate the issuance of the Securities to the Underwriters or purchasers procured by the Underwriters in the primary market or sale by the Underwriters or purchasers procured by the Underwriters of the Securities in the secondary market.</w:t>
      </w:r>
    </w:p>
    <w:p>
      <w:pPr>
        <w:spacing w:after="0" w:line="398"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20" w:name="page21"/>
    <w:bookmarkEnd w:id="20"/>
    <w:p>
      <w:pPr>
        <w:jc w:val="both"/>
        <w:ind w:left="-324" w:firstLine="324"/>
        <w:spacing w:after="0" w:line="256" w:lineRule="auto"/>
        <w:tabs>
          <w:tab w:leader="none" w:pos="2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will pay, indemnify and hold harmless the Underwriters against any stamp, issue, registration, documentary,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or other similar taxes or duties imposed by a taxing authority thereof or therein that is payable in connection with (i) the execution, delivery, consummation or enforcement of this Agreement, (ii) the creation, allotment and issuance of the Securities, (iii) the sale and delivery of the Securities to the Underwriters or purchasers procured by the Underwriters and any shares of Common Stock issued upon conversion thereof, or (iv) the resale and delivery of the Securities by the Underwriters in the manner contemplated herein. All sums payable to an Underwriter shall be considered exclusive of any value added or similar taxes. Where the Company is obliged to pay value added or similar tax on any amount payable hereunder to an Underwriter, the Company shall report and pay such applicable value added or similar tax to the relevant tax authority.</w:t>
      </w:r>
    </w:p>
    <w:p>
      <w:pPr>
        <w:spacing w:after="0" w:line="180" w:lineRule="exact"/>
        <w:rPr>
          <w:rFonts w:ascii="Times New Roman" w:cs="Times New Roman" w:eastAsia="Times New Roman" w:hAnsi="Times New Roman"/>
          <w:sz w:val="18"/>
          <w:szCs w:val="18"/>
          <w:color w:val="auto"/>
        </w:rPr>
      </w:pPr>
    </w:p>
    <w:p>
      <w:pPr>
        <w:jc w:val="both"/>
        <w:ind w:left="-324" w:firstLine="324"/>
        <w:spacing w:after="0" w:line="251" w:lineRule="auto"/>
        <w:tabs>
          <w:tab w:leader="none" w:pos="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 on Sale in the Secondary Market of Securities by Company. </w:t>
      </w:r>
      <w:r>
        <w:rPr>
          <w:rFonts w:ascii="Times New Roman" w:cs="Times New Roman" w:eastAsia="Times New Roman" w:hAnsi="Times New Roman"/>
          <w:sz w:val="18"/>
          <w:szCs w:val="18"/>
          <w:color w:val="auto"/>
        </w:rPr>
        <w:t>For the period specified below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not, directly or indirectly, take any of the following actions with respect to its Common Stock or any securities convertible into or exchangeable or exercisable for any of its Common Stock, unless otherwise agreed in this Agreement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(i) offer, sell, lend, issue, contract to sell, pledge or otherwise dispose of Lock-Up Securities, (ii) offer, sell, lend,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or submit with the Commission a registration statement under the Act relating to Lock-Up Securities (other than (i) registration statements on Form S-8 relating to Lock-Up Securities granted or to be granted pursuant to the terms of a plan disclosed in the General Disclosure Package or (ii) registration statements for issuances under clauses (d) or (e) below), or publicly disclose the intention to take any such action described in subsections (i) through (v), without the prior written consent of Santander and J.P. Morgan on behalf of the Underwriters, except (a) issuances and sales of the notes offered hereby and issuance of any shares of Common Stock upon conversion thereof, (b) issuances of Lock-Up Securities pursuant to the conversion or exchange of convertible or exchangeable securities or the exercise of warrants or options, in each case outstanding on the date hereof and described in the General Disclosure Package and the Final Prospectus (including the issuance of Lock-Up Securities upon conversion of the Company’s outstanding 5.25% Convertible Senior Notes due 2030 and upon conversion of the Company’s outstanding Series B Preferred Stock and/or Series B-1 Preferred Stock pursuant to the terms of (A) the Amended and Restated Stock Purchase Agreement, dated as of October 31, 2025, among the Company and the purchasers signatory thereto, (B) Certificate of Designations of Series B Convertible Non-Voting Preferred Stock of T1 Energy Inc. and (C) Certificate of Designations of Series B-1 Convertible Non-Voting Preferred Stock of T1 Energy Inc., as applicable), (c) grants of employee stock options and other equity-based awards pursuant to the terms of a plan in effect on the date hereof and described in the General Disclosure Package and the Final Prospectus, and issuances of Lock-Up Securities pursuant to the exercise of such options or upon settlement of such awards, (d) the issuance of Lock-Up Securities in connection with the exercise of anti-dilution rights granted to Trina Solar (Schweiz) AG (“</w:t>
      </w:r>
      <w:r>
        <w:rPr>
          <w:rFonts w:ascii="Times New Roman" w:cs="Times New Roman" w:eastAsia="Times New Roman" w:hAnsi="Times New Roman"/>
          <w:sz w:val="18"/>
          <w:szCs w:val="18"/>
          <w:b w:val="1"/>
          <w:bCs w:val="1"/>
          <w:color w:val="auto"/>
        </w:rPr>
        <w:t>Trina</w:t>
      </w:r>
      <w:r>
        <w:rPr>
          <w:rFonts w:ascii="Times New Roman" w:cs="Times New Roman" w:eastAsia="Times New Roman" w:hAnsi="Times New Roman"/>
          <w:sz w:val="18"/>
          <w:szCs w:val="18"/>
          <w:color w:val="auto"/>
        </w:rPr>
        <w:t>”) pursuant to (A) the Amended and Restated Cooperation Agreement, dated as of December 29, 2025, between the Company and Trina and (B) the Transaction Agreement, dated as of November 6, 2024, between the Company and Trina or (e) issuance of any Common Stock or any securities convertible into or exchangeable for, or that represent the right to receive,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 or any announcement relating to such transaction, provided that in the case of clause (e) the aggregate number of shares that the Company may sell or issue or agree to sell or issue pursuant to clause (e) shall not exceed 10% of the total number of Common Stock issued and outstanding immediately following the completion of the transactions contemplated by this Agreement. The Lock-Up Period will commence on the date hereof and continue for 30 days after the date hereof or such earlier date that the Representatives consent to in writing.</w:t>
      </w:r>
    </w:p>
    <w:p>
      <w:pPr>
        <w:spacing w:after="0" w:line="200" w:lineRule="exact"/>
        <w:rPr>
          <w:sz w:val="20"/>
          <w:szCs w:val="20"/>
          <w:color w:val="auto"/>
        </w:rPr>
      </w:pPr>
    </w:p>
    <w:p>
      <w:pPr>
        <w:spacing w:after="0" w:line="222"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56"/>
          </w:cols>
          <w:pgMar w:left="1304" w:top="902" w:right="339" w:bottom="1440" w:gutter="0" w:footer="0" w:header="0"/>
        </w:sectPr>
      </w:pPr>
    </w:p>
    <w:bookmarkStart w:id="21" w:name="page22"/>
    <w:bookmarkEnd w:id="21"/>
    <w:p>
      <w:pPr>
        <w:jc w:val="both"/>
        <w:ind w:left="660" w:firstLine="968"/>
        <w:spacing w:after="0" w:line="261" w:lineRule="auto"/>
        <w:tabs>
          <w:tab w:leader="none" w:pos="188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Maximum Number of Underlying Securities. </w:t>
      </w:r>
      <w:r>
        <w:rPr>
          <w:rFonts w:ascii="Times New Roman" w:cs="Times New Roman" w:eastAsia="Times New Roman" w:hAnsi="Times New Roman"/>
          <w:sz w:val="18"/>
          <w:szCs w:val="18"/>
          <w:color w:val="auto"/>
        </w:rPr>
        <w:t>The Company will reserve and keep available at all times, free of preemptive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 number of shares of Common Stock equal to the Maximum Number of Underlying Securities for purposes of settling conversions of the Securities. The Company will use its reasonable best efforts to effect and maintain the listing of a number of shares of Common Stock issuable upon conversion of the Securities equal to the Maximum Number of Underlying Securities on the New York Stock Exchange.</w:t>
      </w:r>
    </w:p>
    <w:p>
      <w:pPr>
        <w:spacing w:after="0" w:line="17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Securities to be eligible for clearance and settlement through</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4" w:lineRule="exact"/>
        <w:rPr>
          <w:rFonts w:ascii="Times New Roman" w:cs="Times New Roman" w:eastAsia="Times New Roman" w:hAnsi="Times New Roman"/>
          <w:sz w:val="18"/>
          <w:szCs w:val="18"/>
          <w:color w:val="auto"/>
        </w:rPr>
      </w:pPr>
    </w:p>
    <w:p>
      <w:pPr>
        <w:ind w:left="660" w:firstLine="968"/>
        <w:spacing w:after="0" w:line="284" w:lineRule="auto"/>
        <w:tabs>
          <w:tab w:leader="none" w:pos="188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Sheet</w:t>
      </w:r>
      <w:r>
        <w:rPr>
          <w:rFonts w:ascii="Times New Roman" w:cs="Times New Roman" w:eastAsia="Times New Roman" w:hAnsi="Times New Roman"/>
          <w:sz w:val="18"/>
          <w:szCs w:val="18"/>
          <w:color w:val="auto"/>
        </w:rPr>
        <w:t>. The Company will prepare a final term sheet relating to this offering of the Securities in a form approved by you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Annex 1 hereto) and will file such term sheet pursuant to and within the time required by Rule 433(d) under the Act.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 The Company shall file any Issuer Free Writing Prospectus to the extent required by Rule 433 under the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satisfied or will satisfy the conditions in Rule 433 under the Act to avoid a requirement to file with the Commission any electronic road show.</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sell and pay for the Underwritten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First Closing Date and the Option Securities on each Optional Closing Date will be subject to the accuracy of the representations and warranties of the Company herein (as of the date hereof and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179" w:lineRule="exact"/>
        <w:rPr>
          <w:rFonts w:ascii="Times New Roman" w:cs="Times New Roman" w:eastAsia="Times New Roman" w:hAnsi="Times New Roman"/>
          <w:sz w:val="18"/>
          <w:szCs w:val="18"/>
          <w:color w:val="auto"/>
        </w:rPr>
      </w:pPr>
    </w:p>
    <w:p>
      <w:pPr>
        <w:jc w:val="both"/>
        <w:ind w:left="660" w:firstLine="324"/>
        <w:spacing w:after="0" w:line="261" w:lineRule="auto"/>
        <w:tabs>
          <w:tab w:leader="none" w:pos="12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Accountant’s Comfort Letter. </w:t>
      </w:r>
      <w:r>
        <w:rPr>
          <w:rFonts w:ascii="Times New Roman" w:cs="Times New Roman" w:eastAsia="Times New Roman" w:hAnsi="Times New Roman"/>
          <w:sz w:val="18"/>
          <w:szCs w:val="18"/>
          <w:color w:val="auto"/>
        </w:rPr>
        <w:t>The Representatives shall have received letters, dated, respectively, the date hereof and such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KPMG LLP confirming that they are a registered public accounting firm and independent public accountants within the meaning of the Securities Laws, in the form and substance satisfactory to the Representatives (except that, in any letter dated a Closing Date, the specified date referred to in the comfort letters shall be a date no more than three days prior to such Closing Date).</w:t>
      </w:r>
    </w:p>
    <w:p>
      <w:pPr>
        <w:spacing w:after="0" w:line="179" w:lineRule="exact"/>
        <w:rPr>
          <w:rFonts w:ascii="Times New Roman" w:cs="Times New Roman" w:eastAsia="Times New Roman" w:hAnsi="Times New Roman"/>
          <w:sz w:val="18"/>
          <w:szCs w:val="18"/>
          <w:color w:val="auto"/>
        </w:rPr>
      </w:pPr>
    </w:p>
    <w:p>
      <w:pPr>
        <w:jc w:val="both"/>
        <w:ind w:left="660" w:firstLine="324"/>
        <w:spacing w:after="0" w:line="258" w:lineRule="auto"/>
        <w:tabs>
          <w:tab w:leader="none" w:pos="12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 </w:t>
      </w:r>
      <w:r>
        <w:rPr>
          <w:rFonts w:ascii="Times New Roman" w:cs="Times New Roman" w:eastAsia="Times New Roman" w:hAnsi="Times New Roman"/>
          <w:sz w:val="18"/>
          <w:szCs w:val="18"/>
          <w:color w:val="auto"/>
        </w:rPr>
        <w:t>The Final Prospectus shall have been filed with the Commission in accordance with the Rules and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5(a) hereof. No stop order and no Section 8A proceeding suspending the effectiveness of the Registration Statement or any part thereof shall have been issued and no proceedings for that purpose shall have been instituted or shall be contemplated by the Commission, to the knowledge of the Company or any Underwriter, and any post-effective amendment complied and will comply in all material respects with the Act and the Trust Indenture Act and the rules and regulations of the Commission thereunder.</w:t>
      </w:r>
    </w:p>
    <w:p>
      <w:pPr>
        <w:spacing w:after="0" w:line="183" w:lineRule="exact"/>
        <w:rPr>
          <w:rFonts w:ascii="Times New Roman" w:cs="Times New Roman" w:eastAsia="Times New Roman" w:hAnsi="Times New Roman"/>
          <w:sz w:val="18"/>
          <w:szCs w:val="18"/>
          <w:color w:val="auto"/>
        </w:rPr>
      </w:pPr>
    </w:p>
    <w:p>
      <w:pPr>
        <w:jc w:val="both"/>
        <w:ind w:left="660" w:firstLine="324"/>
        <w:spacing w:after="0" w:line="257" w:lineRule="auto"/>
        <w:tabs>
          <w:tab w:leader="none" w:pos="12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Subsequent to the execution and delivery of this Agreement, there shall not have occurred (i) 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that, in the judgement of the Representatives, makes it impractical or inadvisable to market the Securities and (ii) any downgrading in the rating of any debt securities of the Company by any “nationally recognized statistical rating organization” (as defined in Section 3(a)(62) of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left="660" w:firstLine="324"/>
        <w:spacing w:after="0" w:line="267" w:lineRule="auto"/>
        <w:tabs>
          <w:tab w:leader="none" w:pos="13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Opinions and 10b-5 Statements of Counsels for the Company. </w:t>
      </w:r>
      <w:r>
        <w:rPr>
          <w:rFonts w:ascii="Times New Roman" w:cs="Times New Roman" w:eastAsia="Times New Roman" w:hAnsi="Times New Roman"/>
          <w:sz w:val="18"/>
          <w:szCs w:val="18"/>
          <w:color w:val="auto"/>
        </w:rPr>
        <w:t>The Representatives shall have received an opinion and 10b-5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such Closing Date, of Skadden, Arps, Slate, Meagher &amp; Flom LLP, counsel for the Company, in form and substance satisfactory to the Representatives.</w:t>
      </w:r>
    </w:p>
    <w:p>
      <w:pPr>
        <w:spacing w:after="0" w:line="173" w:lineRule="exact"/>
        <w:rPr>
          <w:rFonts w:ascii="Times New Roman" w:cs="Times New Roman" w:eastAsia="Times New Roman" w:hAnsi="Times New Roman"/>
          <w:sz w:val="18"/>
          <w:szCs w:val="18"/>
          <w:color w:val="auto"/>
        </w:rPr>
      </w:pPr>
    </w:p>
    <w:p>
      <w:pPr>
        <w:jc w:val="both"/>
        <w:ind w:left="660" w:firstLine="324"/>
        <w:spacing w:after="0" w:line="261"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Underwriters. </w:t>
      </w:r>
      <w:r>
        <w:rPr>
          <w:rFonts w:ascii="Times New Roman" w:cs="Times New Roman" w:eastAsia="Times New Roman" w:hAnsi="Times New Roman"/>
          <w:sz w:val="18"/>
          <w:szCs w:val="18"/>
          <w:color w:val="auto"/>
        </w:rPr>
        <w:t>The Representatives shall have received from Davis Polk &amp; Wardwell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Underwriters, such opinion or opinions and 10b-5 statement, dated such Closing Date, in form and substance satisfactory to the Representatives, and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660" w:firstLine="324"/>
        <w:spacing w:after="0" w:line="256" w:lineRule="auto"/>
        <w:tabs>
          <w:tab w:leader="none" w:pos="12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a certificate, dated such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the Registration Statement has been issued and no proceedings for that purpose have been instituted or, to the best of their knowledge, are contemplated by the Commission; and, subsequent to the date of the most recent financial statements in the General Disclosure Package and the Final Prospectus, there has been no Material Adverse Effect except as set forth in the General Disclosure Package and the Final Prospectus or as described in such certificate.</w:t>
      </w:r>
    </w:p>
    <w:p>
      <w:pPr>
        <w:spacing w:after="0" w:line="182" w:lineRule="exact"/>
        <w:rPr>
          <w:rFonts w:ascii="Times New Roman" w:cs="Times New Roman" w:eastAsia="Times New Roman" w:hAnsi="Times New Roman"/>
          <w:sz w:val="18"/>
          <w:szCs w:val="18"/>
          <w:color w:val="auto"/>
        </w:rPr>
      </w:pPr>
    </w:p>
    <w:p>
      <w:pPr>
        <w:ind w:left="660" w:firstLine="324"/>
        <w:spacing w:after="0" w:line="284" w:lineRule="auto"/>
        <w:tabs>
          <w:tab w:leader="none" w:pos="12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On or prior to the date hereof, the Representatives shall have received lockup agreements in the form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A hereto from each executive officer and director under Section 16 of the Exchange Act, as specified in Schedule C to this Agreement.</w:t>
      </w:r>
    </w:p>
    <w:p>
      <w:pPr>
        <w:spacing w:after="0" w:line="158" w:lineRule="exact"/>
        <w:rPr>
          <w:rFonts w:ascii="Times New Roman" w:cs="Times New Roman" w:eastAsia="Times New Roman" w:hAnsi="Times New Roman"/>
          <w:sz w:val="18"/>
          <w:szCs w:val="18"/>
          <w:color w:val="auto"/>
        </w:rPr>
      </w:pPr>
    </w:p>
    <w:p>
      <w:pPr>
        <w:jc w:val="both"/>
        <w:ind w:left="660" w:firstLine="324"/>
        <w:spacing w:after="0" w:line="261" w:lineRule="auto"/>
        <w:tabs>
          <w:tab w:leader="none" w:pos="12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Financial Officer Certificate</w:t>
      </w:r>
      <w:r>
        <w:rPr>
          <w:rFonts w:ascii="Times New Roman" w:cs="Times New Roman" w:eastAsia="Times New Roman" w:hAnsi="Times New Roman"/>
          <w:sz w:val="18"/>
          <w:szCs w:val="18"/>
          <w:color w:val="auto"/>
        </w:rPr>
        <w:t>. At the time of execution of this Agreement and on such Closing Date,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certificate of the Company’s chief financial officer with respect to certain financial information contained in or incorporated by reference in the Registration Statement, the General Disclosure Package and the Final Prospectus, dated respectively as of the time of execution of this Agreement and as of the Closing Date, in form and substance satisfactory to the Representatives.</w:t>
      </w:r>
    </w:p>
    <w:p>
      <w:pPr>
        <w:spacing w:after="0" w:line="179" w:lineRule="exact"/>
        <w:rPr>
          <w:rFonts w:ascii="Times New Roman" w:cs="Times New Roman" w:eastAsia="Times New Roman" w:hAnsi="Times New Roman"/>
          <w:sz w:val="18"/>
          <w:szCs w:val="18"/>
          <w:color w:val="auto"/>
        </w:rPr>
      </w:pPr>
    </w:p>
    <w:p>
      <w:pPr>
        <w:jc w:val="both"/>
        <w:ind w:left="660" w:firstLine="324"/>
        <w:spacing w:after="0" w:line="261" w:lineRule="auto"/>
        <w:tabs>
          <w:tab w:leader="none" w:pos="1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Documentation</w:t>
      </w:r>
      <w:r>
        <w:rPr>
          <w:rFonts w:ascii="Times New Roman" w:cs="Times New Roman" w:eastAsia="Times New Roman" w:hAnsi="Times New Roman"/>
          <w:sz w:val="18"/>
          <w:szCs w:val="18"/>
          <w:color w:val="auto"/>
        </w:rPr>
        <w:t>. The Company will furnish the Representatives with such conformed copies of such opinions,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letters and documents as the Representatives reasonably request, including with respect to the good standing of the Company, the due authorization and issuance of the Option Securities to be sold on such Optional Closing Date and other matters related to the issuance of such Option Securities.</w:t>
      </w:r>
    </w:p>
    <w:p>
      <w:pPr>
        <w:spacing w:after="0" w:line="179" w:lineRule="exact"/>
        <w:rPr>
          <w:rFonts w:ascii="Times New Roman" w:cs="Times New Roman" w:eastAsia="Times New Roman" w:hAnsi="Times New Roman"/>
          <w:sz w:val="18"/>
          <w:szCs w:val="18"/>
          <w:color w:val="auto"/>
        </w:rPr>
      </w:pPr>
    </w:p>
    <w:p>
      <w:pPr>
        <w:ind w:left="660" w:firstLine="324"/>
        <w:spacing w:after="0" w:line="284" w:lineRule="auto"/>
        <w:tabs>
          <w:tab w:leader="none" w:pos="1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A number of shares of Common Stock equal to the Maximum Number of Underlying Securities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New York Stock Exchange, subject to official notice of issuance.</w:t>
      </w:r>
    </w:p>
    <w:p>
      <w:pPr>
        <w:spacing w:after="0" w:line="158" w:lineRule="exact"/>
        <w:rPr>
          <w:rFonts w:ascii="Times New Roman" w:cs="Times New Roman" w:eastAsia="Times New Roman" w:hAnsi="Times New Roman"/>
          <w:sz w:val="18"/>
          <w:szCs w:val="18"/>
          <w:color w:val="auto"/>
        </w:rPr>
      </w:pPr>
    </w:p>
    <w:p>
      <w:pPr>
        <w:ind w:left="1240" w:hanging="256"/>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Securities shall be eligible for clearance and settlement through DTC.</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Representatives may in their sole discretion waive on behalf of the Underwriters compliance with any conditions to the obligations of the Underwriters hereunder, whether in respect of an Optional Closing Date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56"/>
        <w:spacing w:after="0" w:line="252" w:lineRule="auto"/>
        <w:tabs>
          <w:tab w:leader="none" w:pos="8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Indemnification of Underwriters by Company. </w:t>
      </w:r>
      <w:r>
        <w:rPr>
          <w:rFonts w:ascii="Times New Roman" w:cs="Times New Roman" w:eastAsia="Times New Roman" w:hAnsi="Times New Roman"/>
          <w:sz w:val="18"/>
          <w:szCs w:val="18"/>
          <w:color w:val="auto"/>
        </w:rPr>
        <w:t>The Company will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at any time, any Statutory Prospectus as of any time, the Final Prospectus, any Issuer Free Writing Prospectus or any “road show” as defined in Rule 433(h) under the Act, including any investor presentation used in connection with pre-marketing (a “road show”),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195" w:lineRule="exact"/>
        <w:rPr>
          <w:sz w:val="20"/>
          <w:szCs w:val="20"/>
          <w:color w:val="auto"/>
        </w:rPr>
      </w:pPr>
    </w:p>
    <w:p>
      <w:pPr>
        <w:jc w:val="both"/>
        <w:ind w:firstLine="656"/>
        <w:spacing w:after="0" w:line="252" w:lineRule="auto"/>
        <w:tabs>
          <w:tab w:leader="none" w:pos="9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will severally and not jointly indemnify and hold harmless the Company,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each of its officers who signs a Registration Statement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at any time, any Statutory Prospectus as of any time, the Final Prospectus, any Issuer Free Writing Prospectus or any road show,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“Underwriting” section of the Final Prospectus furnished on behalf of each Underwriter: the concession figures appearing in the table under the fifth paragraph under the caption “Underwriting” and the statements regarding the Underwriters’ stabilization activities contained in the twelfth paragraph under the caption “Underwriting”.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656"/>
        <w:spacing w:after="0" w:line="251"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against Parties; Notification. </w:t>
      </w:r>
      <w:r>
        <w:rPr>
          <w:rFonts w:ascii="Times New Roman" w:cs="Times New Roman" w:eastAsia="Times New Roman" w:hAnsi="Times New Roman"/>
          <w:sz w:val="18"/>
          <w:szCs w:val="18"/>
          <w:color w:val="auto"/>
        </w:rPr>
        <w:t>Promptly after receipt by an indemnified party under this Section of notice of the commencement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such indemnified party will, if a claim in respect thereof is to be made against an indemnifying party under subsection (a) or (b), notify the indemnifying party in writing of the commencement thereof; but the failure to notify the indemnifying party shall not relieve it from any liability that it may have under subsection (a) or (b)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(iii) the indemnifying party has failed within a reasonable time to retain counsel reasonably satisfactory to the indemnified party or (iv) the indemnifying party shall have reasonably concluded that there may be legal defenses available to it that are different from or in addition to those available to the indemnifying party.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under subsection (a), and by the Company, in the case of parties indemnified under subsection (b).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(x) includes an unconditional written release of such indemnified party from all liability on claims that are the subject matter of such action, suit or proceeding and (y) does not include a statement as to or an admission of fault, culpability or a failure to act, by or on behalf of any indemnified party. Notwithstanding the foregoing,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w:t>
      </w:r>
    </w:p>
    <w:p>
      <w:pPr>
        <w:spacing w:after="0" w:line="200"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this Section is unavailable or insufficient to hold harmless an indemnified party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subsection (i) above is not permitted by applicable law, in such proportion as is appropriate to reflect not only the relative benefits referred to in subsection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underwriting commissions received by such Underwriter in connection with the Securities underwritten by it and distributed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 The remedies provided for in this Section 8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656"/>
        <w:spacing w:after="0" w:line="253" w:lineRule="auto"/>
        <w:tabs>
          <w:tab w:leader="none" w:pos="8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default in their obligations to sell the Securities hereunder on either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or any Optional Closing Date and the aggregate number of Securities that such defaulting Underwriter or Underwriters agreed but failed to sell does not exceed 10% of the total number of Securities that the Underwriters are obligated to sell on such Closing Date, the non-defaulting Underwriters may make arrangements satisfactory to the Company for the sale of such Securities by other persons, including any of the Underwriters, but if no such arrangements are made by such Closing Date, the non-defaulting Underwriters shall be obligated severally, in proportion to their respective commitments hereunder, to sell to the Securities that such defaulting Underwriters agreed but failed to sell on such Closing Date. If any Underwriter or Underwriters so default and the aggregate number of the Securities with respect to which such default or defaults occur exceeds 10% of the total number of the Securities that the Underwriters are obligated to sell on such Closing Date and arrangements satisfactory to the Representatives and the Company for the sale of such Securities by other persons are not made within 36 hours after such default, this Agreement will terminate without liability on the part of any non-defaulting Underwriter or the Company, except as provided in Section 10 (provided that if such default occurs with respect to Option Securities after the First Closing Date, this Agreement will not terminate as to the Underwritten Securities or any Option Securities sold prior to such termination). As used in this Agreement, the term “Underwriter” includes any person substituted for an Underwriter under this Section. Nothing herein will relieve a defaulting Underwriter from liability for its default.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and prior to the Closing Date (i) trading generally shall have been suspended or materially limited on, or by, as the case may be, any of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subsection (v), makes it, in the judgment of the Representatives, impracticable or inadvisable to proceed with the offer and the issuance of the Securities on the terms and in the manner contemplated in the Registration Statement, the General Disclosure Package or the Final Prospectus.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any other indemnified parties, and will survive delivery of and payment for the Securities. If the sale of the Securities by the Underwriters is not consummated for any reason other than solely because of the termination of this Agreement pursuant to Section 10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sold hereunder, the representations and warranties in Section 2 and all obligations under Section 5 shall also remain in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will be in writing and, if sent to the Representatives, will be mailed, delivered or sent and confirmed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Representatives, c/o Santander US Capital Markets LLC, 437 Madison Avenue, New York, N.Y. 10022, Email: [****], Attention: Equity Capital Markets, c/o J.P. Morgan Securities LLC, 270 Park Avenue New York, N.Y. 10017, Fax: [****], Attention Equity Syndicate Desk or, if sent to the Company, will be mailed, delivered or sent and confirmed to it at T1 Energy Inc., 1211 E 4th St, Austin TX 78702, Attention: Evan Calio and Andrew Munro, with copies by email to [****], [****] and [****] provided, however, that any notice to a Representative pursuant to Section 8 will be mailed, delivered or sent and confirmed to such Representative.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56"/>
        <w:spacing w:after="0" w:line="284" w:lineRule="auto"/>
        <w:tabs>
          <w:tab w:leader="none" w:pos="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and controlling persons and other indemnified parties referred to in Section 8,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of Underwriters</w:t>
      </w:r>
      <w:r>
        <w:rPr>
          <w:rFonts w:ascii="Times New Roman" w:cs="Times New Roman" w:eastAsia="Times New Roman" w:hAnsi="Times New Roman"/>
          <w:sz w:val="18"/>
          <w:szCs w:val="18"/>
          <w:color w:val="auto"/>
        </w:rPr>
        <w:t>. The Representatives will act for the several Underwriters in connection with the transactions contemplated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any action under this Agreement taken by the Representatives, jointly or individually, will be binding upon all the Underwriters.</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Fiduciary Relationship. </w:t>
      </w:r>
      <w:r>
        <w:rPr>
          <w:rFonts w:ascii="Times New Roman" w:cs="Times New Roman" w:eastAsia="Times New Roman" w:hAnsi="Times New Roman"/>
          <w:sz w:val="18"/>
          <w:szCs w:val="18"/>
          <w:color w:val="auto"/>
        </w:rPr>
        <w:t>The Company acknowledge and agree that:</w:t>
      </w:r>
    </w:p>
    <w:p>
      <w:pPr>
        <w:spacing w:after="0" w:line="225" w:lineRule="exact"/>
        <w:rPr>
          <w:sz w:val="20"/>
          <w:szCs w:val="20"/>
          <w:color w:val="auto"/>
        </w:rPr>
      </w:pPr>
    </w:p>
    <w:p>
      <w:pPr>
        <w:jc w:val="both"/>
        <w:ind w:firstLine="656"/>
        <w:spacing w:after="0" w:line="254" w:lineRule="auto"/>
        <w:tabs>
          <w:tab w:leader="none" w:pos="9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Other Relationship. </w:t>
      </w:r>
      <w:r>
        <w:rPr>
          <w:rFonts w:ascii="Times New Roman" w:cs="Times New Roman" w:eastAsia="Times New Roman" w:hAnsi="Times New Roman"/>
          <w:sz w:val="18"/>
          <w:szCs w:val="18"/>
          <w:color w:val="auto"/>
        </w:rPr>
        <w:t>The Representatives have been retained solely to act as underwriters in connection with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to the Underwriters or purchasers procured by the Underwriters in the primary market and the sale by the Underwriters or purchasers procured by the Underwriters of the Securities in the secondary market and that no fiduciary, advisory or agency relationship between the Company and the Representatives have been created in respect of any of the transactions contemplated by this Agreement or the Final Prospectus, irrespective of whether the Representatives have advised or is advising the Company on other matters.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Arms’ Length Negotiations. </w:t>
      </w:r>
      <w:r>
        <w:rPr>
          <w:rFonts w:ascii="Times New Roman" w:cs="Times New Roman" w:eastAsia="Times New Roman" w:hAnsi="Times New Roman"/>
          <w:sz w:val="18"/>
          <w:szCs w:val="18"/>
          <w:color w:val="auto"/>
        </w:rPr>
        <w:t>The price of the Securities set forth in this Agreement was established by Company following discussions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arms-length negotiations with the Representatives and the Company are capable of evaluating and understanding and understand and accept the terms, risks and conditions of the transactions contemplated by this Agreement;</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Obligation to Disclose. </w:t>
      </w:r>
      <w:r>
        <w:rPr>
          <w:rFonts w:ascii="Times New Roman" w:cs="Times New Roman" w:eastAsia="Times New Roman" w:hAnsi="Times New Roman"/>
          <w:sz w:val="18"/>
          <w:szCs w:val="18"/>
          <w:color w:val="auto"/>
        </w:rPr>
        <w:t>The Company have been advised that the Representatives and its affiliates are engaged in a broad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w:t>
      </w:r>
    </w:p>
    <w:p>
      <w:pPr>
        <w:spacing w:after="0" w:line="173"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 BI. </w:t>
      </w:r>
      <w:r>
        <w:rPr>
          <w:rFonts w:ascii="Times New Roman" w:cs="Times New Roman" w:eastAsia="Times New Roman" w:hAnsi="Times New Roman"/>
          <w:sz w:val="18"/>
          <w:szCs w:val="18"/>
          <w:color w:val="auto"/>
        </w:rPr>
        <w:t>The Underwriters have not provided any recommendation or investment advice nor have the Underwriters solicited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undersigned with respect to the offering of the Securities and the undersigned has consulted their own legal, accounting, financial, regulatory and</w:t>
      </w:r>
    </w:p>
    <w:p>
      <w:pPr>
        <w:jc w:val="both"/>
        <w:spacing w:after="0" w:line="253" w:lineRule="auto"/>
        <w:rPr>
          <w:sz w:val="20"/>
          <w:szCs w:val="20"/>
          <w:color w:val="auto"/>
        </w:rPr>
      </w:pPr>
      <w:r>
        <w:rPr>
          <w:rFonts w:ascii="Times New Roman" w:cs="Times New Roman" w:eastAsia="Times New Roman" w:hAnsi="Times New Roman"/>
          <w:sz w:val="18"/>
          <w:szCs w:val="18"/>
          <w:color w:val="auto"/>
        </w:rPr>
        <w:t>tax advisors to the extent deemed appropriate. Although the Representatives may be required or choose to provide certain Regulation Best Interest and Form CRS disclosures to you in connection with the offering of the Securities, the Representatives and the other Underwriters are not making a recommendation to you to enter into this Agreement, and nothing set forth in such disclosures is intended to suggest that the Representatives or any Underwriter is making such a recommendation. Furthermore, none of the activities of the Underwriters in connection with the transactions contemplated herein constitutes a recommendation, investment advice, or solicitation of any action by the Underwriters with respect to any entity or natural person; and</w:t>
      </w:r>
    </w:p>
    <w:p>
      <w:pPr>
        <w:spacing w:after="0" w:line="200" w:lineRule="exact"/>
        <w:rPr>
          <w:sz w:val="20"/>
          <w:szCs w:val="20"/>
          <w:color w:val="auto"/>
        </w:rPr>
      </w:pPr>
    </w:p>
    <w:p>
      <w:pPr>
        <w:spacing w:after="0" w:line="201" w:lineRule="exact"/>
        <w:rPr>
          <w:sz w:val="20"/>
          <w:szCs w:val="20"/>
          <w:color w:val="auto"/>
        </w:rPr>
      </w:pPr>
    </w:p>
    <w:p>
      <w:pPr>
        <w:jc w:val="both"/>
        <w:ind w:firstLine="656"/>
        <w:spacing w:after="0" w:line="267" w:lineRule="auto"/>
        <w:tabs>
          <w:tab w:leader="none" w:pos="8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w:t>
      </w:r>
      <w:r>
        <w:rPr>
          <w:rFonts w:ascii="Times New Roman" w:cs="Times New Roman" w:eastAsia="Times New Roman" w:hAnsi="Times New Roman"/>
          <w:sz w:val="18"/>
          <w:szCs w:val="18"/>
          <w:color w:val="auto"/>
        </w:rPr>
        <w:t>The Company waives, to the fullest extent permitted by law, any claims it may have against the Representatives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or alleged breach of fiduciary duty and agrees that the Representatives shall have no liability (whether direct or indirect) to the Company in respect of such a fiduciary duty claim or to any person asserting a fiduciary duty claim on behalf of or in right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firstLine="656"/>
        <w:spacing w:after="0" w:line="286" w:lineRule="auto"/>
        <w:tabs>
          <w:tab w:leader="none" w:pos="91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b w:val="1"/>
          <w:bCs w:val="1"/>
          <w:color w:val="auto"/>
        </w:rPr>
        <w:t>. This Agreement and any claim, controversy or dispute arising under or related to this Agreement shall be governed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by, and construed in accordance with, the laws of the State of New York.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party hereto hereby submits to the exclusive jurisdiction of the Federal and state courts in the Borough of Manhattan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in any suit or proceeding arising out of or relating to this Agreement or the transactions contemplated hereby. Each party hereto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81" w:lineRule="exact"/>
        <w:rPr>
          <w:sz w:val="20"/>
          <w:szCs w:val="20"/>
          <w:color w:val="auto"/>
        </w:rPr>
      </w:pPr>
    </w:p>
    <w:p>
      <w:pPr>
        <w:ind w:firstLine="656"/>
        <w:spacing w:after="0" w:line="284"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and all right to trial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USA PATRIOT Act</w:t>
      </w:r>
      <w:r>
        <w:rPr>
          <w:rFonts w:ascii="Times New Roman" w:cs="Times New Roman" w:eastAsia="Times New Roman" w:hAnsi="Times New Roman"/>
          <w:sz w:val="18"/>
          <w:szCs w:val="18"/>
          <w:color w:val="auto"/>
        </w:rPr>
        <w:t>. In accordance with the requirements of the USA PATRIOT Act, the Underwriters are required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Section 20(ii):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840" w:hanging="212"/>
        <w:spacing w:after="0"/>
        <w:tabs>
          <w:tab w:leader="none" w:pos="1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5540" w:right="960" w:hanging="4236"/>
        <w:spacing w:after="0" w:line="761" w:lineRule="auto"/>
        <w:tabs>
          <w:tab w:leader="none" w:pos="15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the Representatives’ understanding of our agreement, kindly sign and return to the Company one of the counterparts hereof, whereupon it will become a binding agreement, the Company and the several Underwriters in accordance with its terms.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T1 ENERGY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Evan Calio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foregoing Underwriting Agreement is hereby confirmed and 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antander</w:t>
      </w:r>
      <w:r>
        <w:rPr>
          <w:rFonts w:ascii="Times New Roman" w:cs="Times New Roman" w:eastAsia="Times New Roman" w:hAnsi="Times New Roman"/>
          <w:sz w:val="18"/>
          <w:szCs w:val="18"/>
          <w:color w:val="auto"/>
        </w:rPr>
        <w:t xml:space="preserve"> US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arkets</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Steven Winnert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Steven Winnert</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Conrad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Conrad Rubin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Guarav 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Guarav Maria</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Acting on behalf of themselves and as the Representatives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320" w:type="dxa"/>
            <w:vAlign w:val="bottom"/>
            <w:gridSpan w:val="3"/>
          </w:tcPr>
          <w:p>
            <w:pPr>
              <w:jc w:val="right"/>
              <w:ind w:right="385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3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3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Underwritten</w:t>
            </w:r>
          </w:p>
        </w:tc>
      </w:tr>
      <w:tr>
        <w:trPr>
          <w:trHeight w:val="245"/>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6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6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52,000,000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49"/>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Rice &amp; Company L.L.C.</w:t>
            </w:r>
          </w:p>
        </w:tc>
        <w:tc>
          <w:tcPr>
            <w:tcW w:w="6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160,000,000</w:t>
            </w:r>
          </w:p>
        </w:tc>
        <w:tc>
          <w:tcPr>
            <w:tcW w:w="8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8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1" w:name="page32"/>
    <w:bookmarkEnd w:id="31"/>
    <w:p>
      <w:pPr>
        <w:jc w:val="center"/>
        <w:ind w:right="-464"/>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b w:val="1"/>
          <w:bCs w:val="1"/>
          <w:color w:val="auto"/>
        </w:rPr>
        <w:t>Information Included in the General Disclosure Package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information is included in the General Disclosure Package: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Disclosure Package</w:t>
      </w:r>
    </w:p>
    <w:p>
      <w:pPr>
        <w:spacing w:after="0" w:line="225" w:lineRule="exact"/>
        <w:rPr>
          <w:sz w:val="20"/>
          <w:szCs w:val="20"/>
          <w:color w:val="auto"/>
        </w:rPr>
      </w:pPr>
    </w:p>
    <w:p>
      <w:pPr>
        <w:ind w:left="324" w:hanging="324"/>
        <w:spacing w:after="0"/>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in the form as set forth in Annex 1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 w:hanging="324"/>
        <w:spacing w:after="0"/>
        <w:tabs>
          <w:tab w:leader="none" w:pos="32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 release of the Company dated April 14, 2026 relating to the announcement of the offering of the Securities</w:t>
      </w:r>
    </w:p>
    <w:p>
      <w:pPr>
        <w:spacing w:after="0" w:line="263"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 of the Company dated April 14, 2026 relating to the announcement of the pricing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333"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Sheet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333-292857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April 14,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$160,000,000 4.00% Convertible Senior Notes due 2031</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in this pricing term sheet supplements T1 Energy Inc.’s (“T1 Energy”) preliminary prospectus supplement, dated April 14, 2026 (the “Convertible Notes Preliminary Prospectus Supplement”), relating to an offering of convertible senior notes (the “Convertible Notes Offering”), and the accompanying prospectus, dated January 21, 2026, filed pursuant to Rule 424(b) under the Securities Act of 1933, as amended (the “Securities Act”). This pricing term sheet supersedes the information in the Convertible Notes Preliminary Prospectus Supplement to the extent inconsistent with the information in the Convertible Notes Preliminary Prospectus Supplement. Terms used, but not defined, in this pricing term sheet have the respective meanings set forth in the Convertible Notes Preliminary Prospectus Supplement. As used in this pricing term sheet, “we,” “our” and “us” refer to T1 Energy and not to its subsidiaries. T1 Energy has increased the size of the Convertible Notes Offering from $125,000,000 to $160,000,000 (or, if the underwriters of the Convertible Notes Offering fully exercise their over-allotment option, $184,000,000). The final prospectus supplement relating to the Convertible Notes Offering will reflect conforming changes relating to such increase in the size of the Convertible Notes Offering.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T1 Energy Inc.</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 Convertible Senior Notes due 2031 (the “Notes”)</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Size: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$160,000,000 aggregate principal amount of Notes, plus up to an additional $24,000,000 aggregate principal</w:t>
            </w:r>
          </w:p>
        </w:tc>
      </w:tr>
      <w:tr>
        <w:trPr>
          <w:trHeight w:val="234"/>
        </w:trPr>
        <w:tc>
          <w:tcPr>
            <w:tcW w:w="2960" w:type="dxa"/>
            <w:vAlign w:val="bottom"/>
          </w:tcPr>
          <w:p>
            <w:pPr>
              <w:spacing w:after="0"/>
              <w:rPr>
                <w:sz w:val="20"/>
                <w:szCs w:val="20"/>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of Notes pursuant to the over-allotment option of the underwriters of the Convertible Notes Offering</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 of principal amount per Note, plus accrued interest, if any, from the Settlement Date</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Denominations/Multiple: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$1,000 / $1,000</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4.50% of the principal amount of the Notes, and $7,200,000 in the aggregate (or $8,280,000 in the aggregate, if</w:t>
            </w:r>
          </w:p>
        </w:tc>
      </w:tr>
      <w:tr>
        <w:trPr>
          <w:trHeight w:val="234"/>
        </w:trPr>
        <w:tc>
          <w:tcPr>
            <w:tcW w:w="2960" w:type="dxa"/>
            <w:vAlign w:val="bottom"/>
          </w:tcPr>
          <w:p>
            <w:pPr>
              <w:spacing w:after="0"/>
              <w:rPr>
                <w:sz w:val="20"/>
                <w:szCs w:val="20"/>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underwriters of the Convertible Notes Offering fully exercise their over-allotment option)</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15, 2026</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T+2; April 17, 2026. Under Rule 15c6-1 under the Securities Exchange Act of 1934, trades in the secondary</w:t>
            </w:r>
          </w:p>
        </w:tc>
      </w:tr>
      <w:tr>
        <w:trPr>
          <w:trHeight w:val="216"/>
        </w:trPr>
        <w:tc>
          <w:tcPr>
            <w:tcW w:w="296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generally are required to settle in one business day, unless the parties to any such trade expressly agree</w:t>
            </w:r>
          </w:p>
        </w:tc>
      </w:tr>
      <w:tr>
        <w:trPr>
          <w:trHeight w:val="216"/>
        </w:trPr>
        <w:tc>
          <w:tcPr>
            <w:tcW w:w="296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otherwise. Accordingly, purchasers who wish to trade the Notes prior to the business day preceding the</w:t>
            </w:r>
          </w:p>
        </w:tc>
      </w:tr>
      <w:tr>
        <w:trPr>
          <w:trHeight w:val="216"/>
        </w:trPr>
        <w:tc>
          <w:tcPr>
            <w:tcW w:w="296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 Date will be required, by virtue of the fact that the Notes initially will settle T+2, to specify an</w:t>
            </w:r>
          </w:p>
        </w:tc>
      </w:tr>
      <w:tr>
        <w:trPr>
          <w:trHeight w:val="216"/>
        </w:trPr>
        <w:tc>
          <w:tcPr>
            <w:tcW w:w="296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alternative settlement cycle at the time of any such trade to prevent a failed settlement. Purchasers of the Notes</w:t>
            </w:r>
          </w:p>
        </w:tc>
      </w:tr>
      <w:tr>
        <w:trPr>
          <w:trHeight w:val="216"/>
        </w:trPr>
        <w:tc>
          <w:tcPr>
            <w:tcW w:w="296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 wish to trade the Notes prior to the business day preceding the Settlement Date should consult their own</w:t>
            </w:r>
          </w:p>
        </w:tc>
      </w:tr>
      <w:tr>
        <w:trPr>
          <w:trHeight w:val="234"/>
        </w:trPr>
        <w:tc>
          <w:tcPr>
            <w:tcW w:w="2960" w:type="dxa"/>
            <w:vAlign w:val="bottom"/>
          </w:tcPr>
          <w:p>
            <w:pPr>
              <w:spacing w:after="0"/>
              <w:rPr>
                <w:sz w:val="20"/>
                <w:szCs w:val="20"/>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advisors.</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15, 2031, unless earlier repurchased, redeemed or converted</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Stated Interest Rate:</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 per annum</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15 and October 15 of each year, beginning on October 15, 2026</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Record Dates:</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April 1 and October 1 of each year, immediately preceding any April 15 or October 15 interest payment date, as</w:t>
            </w:r>
          </w:p>
        </w:tc>
      </w:tr>
      <w:tr>
        <w:trPr>
          <w:trHeight w:val="234"/>
        </w:trPr>
        <w:tc>
          <w:tcPr>
            <w:tcW w:w="2960" w:type="dxa"/>
            <w:vAlign w:val="bottom"/>
          </w:tcPr>
          <w:p>
            <w:pPr>
              <w:spacing w:after="0"/>
              <w:rPr>
                <w:sz w:val="20"/>
                <w:szCs w:val="20"/>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case may be</w:t>
            </w:r>
          </w:p>
        </w:tc>
      </w:tr>
      <w:tr>
        <w:trPr>
          <w:trHeight w:val="41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Ticker / Exchange for the common</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 / The New York Stock Exchange (“NYSE”)</w:t>
            </w: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par value $0.01 per share,</w:t>
            </w:r>
          </w:p>
        </w:tc>
        <w:tc>
          <w:tcPr>
            <w:tcW w:w="8280" w:type="dxa"/>
            <w:vAlign w:val="bottom"/>
          </w:tcPr>
          <w:p>
            <w:pPr>
              <w:spacing w:after="0"/>
              <w:rPr>
                <w:sz w:val="18"/>
                <w:szCs w:val="18"/>
                <w:color w:val="auto"/>
              </w:rPr>
            </w:pPr>
          </w:p>
        </w:tc>
      </w:tr>
      <w:tr>
        <w:trPr>
          <w:trHeight w:val="238"/>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T1 Energy (“Common Stock”):</w:t>
            </w:r>
          </w:p>
        </w:tc>
        <w:tc>
          <w:tcPr>
            <w:tcW w:w="8280" w:type="dxa"/>
            <w:vAlign w:val="bottom"/>
          </w:tcPr>
          <w:p>
            <w:pPr>
              <w:spacing w:after="0"/>
              <w:rPr>
                <w:sz w:val="20"/>
                <w:szCs w:val="20"/>
                <w:color w:val="auto"/>
              </w:rPr>
            </w:pPr>
          </w:p>
        </w:tc>
      </w:tr>
      <w:tr>
        <w:trPr>
          <w:trHeight w:val="466"/>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ind w:left="18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Last Reported Sale Price per Share of the Common Stock on NYSE on April 14,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Premium: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Conversion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Bookrunning 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 for Notes:</w:t>
      </w:r>
    </w:p>
    <w:p>
      <w:pPr>
        <w:spacing w:after="0" w:line="225" w:lineRule="exact"/>
        <w:rPr>
          <w:sz w:val="20"/>
          <w:szCs w:val="20"/>
          <w:color w:val="auto"/>
        </w:rPr>
      </w:pPr>
    </w:p>
    <w:p>
      <w:pPr>
        <w:ind w:left="180" w:right="40" w:hanging="161"/>
        <w:spacing w:after="0" w:line="262" w:lineRule="auto"/>
        <w:rPr>
          <w:sz w:val="20"/>
          <w:szCs w:val="20"/>
          <w:color w:val="auto"/>
        </w:rPr>
      </w:pPr>
      <w:r>
        <w:rPr>
          <w:rFonts w:ascii="Times New Roman" w:cs="Times New Roman" w:eastAsia="Times New Roman" w:hAnsi="Times New Roman"/>
          <w:sz w:val="18"/>
          <w:szCs w:val="18"/>
          <w:b w:val="1"/>
          <w:bCs w:val="1"/>
          <w:color w:val="auto"/>
        </w:rPr>
        <w:t>Increase to Conversion Rate in Connection with a Make-Whole Fundamental Change or Notice of Redemption:</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color w:val="auto"/>
        </w:rPr>
        <w:t>$4.86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Approximately 40% above the Last Reported Sale Price per Share of the Common Stock on NYSE on April 14, 2026</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Approximately $6.80 per share of Common Stock</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146.9724 shares of Common Stock per $1,000 principal amount of Notes</w:t>
      </w:r>
    </w:p>
    <w:p>
      <w:pPr>
        <w:spacing w:after="0" w:line="225"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Upon conversion, we will pay and/or deliver, as the case may be, cash, shares of our Common Stock or a combination of cash and shares of our Common Stock, at our election. See “Description of Notes—Conversion Rights—Settlement upon Conversion” in the Convertible Notes Preliminary Prospectus Supplement.</w:t>
      </w:r>
    </w:p>
    <w:p>
      <w:pPr>
        <w:spacing w:after="0" w:line="176"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8"/>
          <w:szCs w:val="18"/>
          <w:color w:val="auto"/>
        </w:rPr>
        <w:t xml:space="preserve">We may not redeem the Notes prior to April 20, 2029. We may redeem for cash all or part of the Notes (subject to the partial redemption limitation described below), at our option, on or after April 20, 2029 and prior to the 41st scheduled trading day immediately preceding the maturity date, at a cash redemption price equal to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but only if the last reported sale price per share of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the related notice of redemption. Pursuant to the partial redemption limitation, we may not elect to redeem less than all of the outstanding Notes unless at least $50 million aggregate principal amount of Notes are outstanding and not subject to redemption as of the time we send the related redemption notice. In addition, if we deliver a notice of redemption, we will, in certain circumstances, increase the conversion rate for a holder who elects to convert its Notes in connection with such notice of redemption. See “Description of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Optional Redemption” in the Convertible Notes Preliminary Prospectus Supplement.</w:t>
      </w:r>
    </w:p>
    <w:p>
      <w:pPr>
        <w:spacing w:after="0" w:line="197"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8"/>
          <w:szCs w:val="18"/>
          <w:color w:val="auto"/>
        </w:rPr>
        <w:t xml:space="preserve">If we undergo a “fundamental change” (as defined in the Convertible Notes Preliminary Prospectus Supplement under “Description of Notes—Fundamental Change Permits Holders to Require Us to Repurchase Notes”), subject to certain conditions and subject to a limited exception described in the Convertible Notes Preliminary Prospectus Supplement, holders may require us to repurchase for cash all or part of their Notes in principal amounts of $1,000 or an integral multiple thereof. The fundamental change repurchase price will be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fundamental change repurchase date. See “Description of Notes—Fundamental Change Permits Holders to Require Us to Repurchase Notes” in the Convertible Notes Preliminary Prospectus Supplement.</w:t>
      </w:r>
    </w:p>
    <w:p>
      <w:pPr>
        <w:spacing w:after="0" w:line="192"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We estimate the net proceeds from the Convertible Notes Offering will be approximately $151.6 million (or approximately $174.5 million if the underwriters exercise in full their over-allotment option), after deducting the underwriters’ discounts and commissions and estimated offering expenses payable by us.</w:t>
      </w:r>
    </w:p>
    <w:p>
      <w:pPr>
        <w:spacing w:after="0" w:line="176" w:lineRule="exact"/>
        <w:rPr>
          <w:sz w:val="20"/>
          <w:szCs w:val="20"/>
          <w:color w:val="auto"/>
        </w:rPr>
      </w:pPr>
    </w:p>
    <w:p>
      <w:pPr>
        <w:jc w:val="both"/>
        <w:ind w:left="7"/>
        <w:spacing w:after="0" w:line="257" w:lineRule="auto"/>
        <w:rPr>
          <w:sz w:val="20"/>
          <w:szCs w:val="20"/>
          <w:color w:val="auto"/>
        </w:rPr>
      </w:pPr>
      <w:r>
        <w:rPr>
          <w:rFonts w:ascii="Times New Roman" w:cs="Times New Roman" w:eastAsia="Times New Roman" w:hAnsi="Times New Roman"/>
          <w:sz w:val="18"/>
          <w:szCs w:val="18"/>
          <w:color w:val="auto"/>
        </w:rPr>
        <w:t>We intend to use the net proceeds of the Convertible Notes Offering (including the net proceeds from the underwriters’ option to purchase additional Notes, if any, to cover over-allotments) for (i) construction and development of infrastructure and purchase of production line equipment relating to Phase 1 of G2_Austin and</w:t>
      </w:r>
    </w:p>
    <w:p>
      <w:pPr>
        <w:spacing w:after="0" w:line="1" w:lineRule="exact"/>
        <w:rPr>
          <w:sz w:val="20"/>
          <w:szCs w:val="20"/>
          <w:color w:val="auto"/>
        </w:rPr>
      </w:pPr>
    </w:p>
    <w:p>
      <w:pPr>
        <w:ind w:left="7" w:right="20" w:hanging="7"/>
        <w:spacing w:after="0" w:line="260"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purposes. See “Use of Proceeds” in the Convertible Notes Preliminary Prospectus Supplement.</w:t>
      </w:r>
    </w:p>
    <w:p>
      <w:pPr>
        <w:spacing w:after="0" w:line="1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Santander US Capital Markets LLC J.P. Morgan Securities LLC</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BTIG, LLC HSBC Securities (USA) Inc. SG Americas Securities, LLC</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Roth Capital Partners, LLC Johnson Rice &amp; Company L.L.C.</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CUSIP: 35834F AC8 / ISIN: US35834FAC86</w:t>
      </w:r>
    </w:p>
    <w:p>
      <w:pPr>
        <w:spacing w:after="0" w:line="225"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Holders who convert their Notes in connection with a make-whole fundamental change occurring prior to the maturity date, and holders who convert their Notes called (or deemed to be called) for redemption in connection with the related notice of redemption, may be entitled to an increase in the conversion rate for those Notes to be converted. The following table sets forth the number of additional shares by which the conversion rate will be increased per $1,000 principal amount of Notes for each stock price and effective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265430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333"/>
            <w:col w:w="8087"/>
          </w:cols>
          <w:pgMar w:left="320" w:top="36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1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$4.86</w:t>
            </w:r>
          </w:p>
        </w:tc>
        <w:tc>
          <w:tcPr>
            <w:tcW w:w="2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$5.50</w:t>
            </w:r>
          </w:p>
        </w:tc>
        <w:tc>
          <w:tcPr>
            <w:tcW w:w="2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$6.25</w:t>
            </w:r>
          </w:p>
        </w:tc>
        <w:tc>
          <w:tcPr>
            <w:tcW w:w="1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$6.80</w:t>
            </w:r>
          </w:p>
        </w:tc>
        <w:tc>
          <w:tcPr>
            <w:tcW w:w="1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$7.75</w:t>
            </w:r>
          </w:p>
        </w:tc>
        <w:tc>
          <w:tcPr>
            <w:tcW w:w="1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$8.84</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shd w:val="clear" w:color="auto" w:fill="CCEEFF"/>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April 17,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2026</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48.2836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39.2832</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34.2353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27.6077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22.1878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18.0490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9.0440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3.5752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1.2650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0.3442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198"/>
        </w:trPr>
        <w:tc>
          <w:tcPr>
            <w:tcW w:w="116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April 15,</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2027</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47.7218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38.2048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32.9294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26.0968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20.6109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16.5060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7.9287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3.0568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0.2828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198"/>
        </w:trPr>
        <w:tc>
          <w:tcPr>
            <w:tcW w:w="1160" w:type="dxa"/>
            <w:vAlign w:val="bottom"/>
            <w:gridSpan w:val="2"/>
            <w:shd w:val="clear" w:color="auto" w:fill="CCEEFF"/>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April 15,</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2028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46.4455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36.2864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30.7500</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23.7174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18.2285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14.2440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6.4293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2.4196</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0.8520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0.2138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198"/>
        </w:trPr>
        <w:tc>
          <w:tcPr>
            <w:tcW w:w="116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April 15,</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2029</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44.1145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33.0656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27.2000</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19.9884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14.6267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10.9440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1.6796</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0.6040</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0.1390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198"/>
        </w:trPr>
        <w:tc>
          <w:tcPr>
            <w:tcW w:w="1160" w:type="dxa"/>
            <w:vAlign w:val="bottom"/>
            <w:gridSpan w:val="2"/>
            <w:shd w:val="clear" w:color="auto" w:fill="CCEEFF"/>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April 15,</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2030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40.0945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27.4368</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21.0574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13.7742</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8.9683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6.0950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2.1880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0.8772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0.3283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0.0645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198"/>
        </w:trPr>
        <w:tc>
          <w:tcPr>
            <w:tcW w:w="116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April 15,</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2031</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58.7889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34.8455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13.0272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0.0868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exact stock prices and effective dates may not be set forth in the table above, in which case: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will be increased will be determined by a straight-line interpolation between the number of additional shares set forth for the higher and lower stock prices and the earlier and later effective dates, as applicable, based on a 365-day year.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$90.00 per share (subject to adjustment in the same manner as the stock prices set forth in the column headings of the table above, as described in the Convertible Notes Preliminary Prospectus Supplement), no additional shares will be added to the conversion rate.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$4.86 per share (subject to adjustment in the same manner as the stock prices set forth in the column headings of the table above, as described in the Convertible Notes Preliminary Prospectus Supplement), no additional shares will be added to the conversion rate.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will the conversion rate per $1,000 principal amount of Notes exceed 205.7613 shares of Common Stock, subject to adjustment in the same manner as the conversion rate as set forth in the Convertible Notes Preliminary Prospectus Supplement under the caption “Description of Notes—Conversion Rights—Conversion Rate Adjustments.”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We have filed a registration statement (including a prospectus) and the Convertible Notes Preliminary Prospectus Supplement with the Securities and Exchange Commission (the “SEC”) for the offering to which this communication relates. Before you invest, you should read the Convertible Notes Preliminary Prospectus Supplement and the prospectus in that registration statement and other documents we have filed with the SEC for more complete information about us and this offering. You may get these documents free by visiting EDGAR on the SEC website at www.sec.gov. Alternatively, we, any underwriter or any dealer participating in the offering will arrange to send you the Convertible Notes Preliminary Prospectus Supplement (or, when available, the final prospectus supplement) and the accompanying prospectus upon request to: Santander US Capital Markets LLC, Attention: ECM Syndicate, 437 Madison Avenue, New York, NY 10022, by email at equity-syndicate@santander.us, or by telephone at 833-818-1602; or J.P. Morgan Securities LLC, c/o Broadridge Financial Solutions, 1155 Long Island Avenue, Edgewood, NY 11717 or by email at prospectus-eq_fi@jpmchase.com and postsalemanualrequests@broadridge.com.</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this pricing term sheet is not a complete description of the Notes or the Convertible Notes Offering. You should rely only on the information contained or incorporated by reference in the Convertible Notes Preliminary Prospectus Supplement and the accompanying prospectus, as supplemented by this pricing term sheet, in making an investment decision with respect to the Notes.</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antander us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 markets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santander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437 Madison Avenue,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LLC (“</w:t>
      </w:r>
      <w:r>
        <w:rPr>
          <w:rFonts w:ascii="Times New Roman" w:cs="Times New Roman" w:eastAsia="Times New Roman" w:hAnsi="Times New Roman"/>
          <w:sz w:val="18"/>
          <w:szCs w:val="18"/>
          <w:b w:val="1"/>
          <w:bCs w:val="1"/>
          <w:color w:val="auto"/>
        </w:rPr>
        <w:t>J.P. M</w:t>
      </w:r>
      <w:r>
        <w:rPr>
          <w:rFonts w:ascii="Times New Roman" w:cs="Times New Roman" w:eastAsia="Times New Roman" w:hAnsi="Times New Roman"/>
          <w:sz w:val="12"/>
          <w:szCs w:val="12"/>
          <w:b w:val="1"/>
          <w:bCs w:val="1"/>
          <w:color w:val="auto"/>
        </w:rPr>
        <w:t>organ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w:t>
      </w:r>
      <w:r>
        <w:rPr>
          <w:rFonts w:ascii="Times New Roman" w:cs="Times New Roman" w:eastAsia="Times New Roman" w:hAnsi="Times New Roman"/>
          <w:sz w:val="18"/>
          <w:szCs w:val="18"/>
          <w:b w:val="1"/>
          <w:bCs w:val="1"/>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T1 Energy Inc., and any successor (by merger or otherwise) thereto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xml:space="preserve">”) by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the Underwriting Agreement (the “</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of debt securities convertible into common stock, par value $0.01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(such securities,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Capitalized terms used herein and not otherwise defined shall have the meanings set forth in the Underwriting Agreement.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inducement to the Underwriters to execute the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undersigned hereby agrees that during the period specified in the following paragraph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undersigned will not offer, sell, lend, contract to sell, pledge or otherwise dispose of, directly or indirectly, any Lock-Up Securities, enter into a transaction which would have the same effect, or enter into any swap, hedge or other arrangement that transfers, in whole or in part, any of the economic consequences of ownership of the Lock-Up Securities, whether any such aforementioned transaction is to be settled by delivery of the Lock-Up Securities or such other securities, in cash or otherwise, or publicly disclose the intention to make any such offer, sale, pledge or disposition, or to enter into any such transaction, swap, hedge or other arrangement, without, in each case, the prior written consent of each of the Representatives. In addition, the undersigned agrees that, without the prior written consent of each of the Representatives, it will not, during the Lock-Up Period, make any demand for or exercise any right with respect to, the registration of any Lock-Up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without the consent of the Representatives: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undersigned is a trust, to a trustor or beneficiary of the trust or to the estate of a beneficiary of such trust (for purposes of this Lock-Up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and/or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left="644" w:hanging="320"/>
        <w:spacing w:after="0" w:line="266"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Company from an employee of the Company upon death, disability or termination of employment, in each case, of such employee or (B) to the Company pursuant to the provisions of any policy of the Company with respect to the recoupment of incentive-based compensation;</w:t>
      </w:r>
    </w:p>
    <w:p>
      <w:pPr>
        <w:spacing w:after="0" w:line="17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the Offering or in open market transactions after the closing date for the Offering;</w:t>
      </w:r>
    </w:p>
    <w:p>
      <w:pPr>
        <w:spacing w:after="0" w:line="161"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Company or (B) in broker-assisted market transactions in connection with the vesting, settlement, or exercise of restricted stock awards, restricted stock units, options, warrants or other rights to purchase shares of Common Stock (including, in each case, in transfers to the Company, by way of “net” or “cashless” exercise), including for the payment of exercise price and tax and remittance payments due as a result of the vesting, settlement, or exercise of such restricted stock awards, restricted stock units, options, warrants or rights; provided that any such shares of Common Stock received and, in the case of transfers contemplated in clause (B) of this paragraph, retained upon such exercise, vesting or settlement shall be subject to the terms of this Lock-Up Agreement, and provided further that any such restricted stock awards,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Final Prospectus; or</w:t>
      </w:r>
    </w:p>
    <w:p>
      <w:pPr>
        <w:spacing w:after="0" w:line="188" w:lineRule="exact"/>
        <w:rPr>
          <w:rFonts w:ascii="Times New Roman" w:cs="Times New Roman" w:eastAsia="Times New Roman" w:hAnsi="Times New Roman"/>
          <w:sz w:val="18"/>
          <w:szCs w:val="18"/>
          <w:color w:val="auto"/>
        </w:rPr>
      </w:pPr>
    </w:p>
    <w:p>
      <w:pPr>
        <w:jc w:val="both"/>
        <w:ind w:left="644" w:hanging="320"/>
        <w:spacing w:after="0" w:line="255"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pacing w:after="0" w:line="189"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provided that (A) in the case of any transfer or distribution pursuant to clause (a)‎(i),‎ (ii),‎ (iii),‎ (iv),‎ (v),‎ and (vi),‎ such transfer shall not involve a disposition for value and each donee, devisee, transferee or distributee shall, except in the case of a transfer pursuant to clause (vi), execute and deliver to the Representatives a lock-up letter in the form of this Lock-Up Agreement, (B) in the case of any transfer or distribution pursuant to clause (a),‎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w:t>
      </w:r>
    </w:p>
    <w:p>
      <w:pPr>
        <w:spacing w:after="0" w:line="189" w:lineRule="exact"/>
        <w:rPr>
          <w:sz w:val="20"/>
          <w:szCs w:val="20"/>
          <w:color w:val="auto"/>
        </w:rPr>
      </w:pPr>
    </w:p>
    <w:p>
      <w:pPr>
        <w:jc w:val="both"/>
        <w:ind w:left="324" w:hanging="324"/>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or other equity awards or exercise warrants pursuant to plans described in the Registration Statement, the Pricing Disclosure Package and the Final Prospectus; provided that any Lock-Up Securities received upon such exercise, vesting or settlement shall be subject to the terms of this Lock-Up Agreement;</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Lock-Up Agreement; or</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one or more trading plans after the date of this Lock-Up Agreement pursuant to Rule 10b5-1 under the Exchange Act for the transfer or disposition of shares of Common Stock; provided that (1) such plans do not provide for the transfer or disposition of Lock-Up Securities during the Lock-Up Period and (2) any public announcement or filing under the Exchange Act made by any person regarding the establishment of such plan during the Lock-Up Period shall include a statement that the undersigned is not permitted to transfer, sell or otherwise dispose of securities under such plan during the Locked-Up Period in contravention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Lock-Up Period will commence on the date on which the Underwriting Agreement is executed and continue and include the date that is 30 days after the date of the final prospectus supplement used to sell the Securities (the “</w:t>
      </w:r>
      <w:r>
        <w:rPr>
          <w:rFonts w:ascii="Times New Roman" w:cs="Times New Roman" w:eastAsia="Times New Roman" w:hAnsi="Times New Roman"/>
          <w:sz w:val="18"/>
          <w:szCs w:val="18"/>
          <w:b w:val="1"/>
          <w:bCs w:val="1"/>
          <w:color w:val="auto"/>
        </w:rPr>
        <w:t>Public Offering Date</w:t>
      </w:r>
      <w:r>
        <w:rPr>
          <w:rFonts w:ascii="Times New Roman" w:cs="Times New Roman" w:eastAsia="Times New Roman" w:hAnsi="Times New Roman"/>
          <w:sz w:val="18"/>
          <w:szCs w:val="18"/>
          <w:color w:val="auto"/>
        </w:rPr>
        <w:t>”) pursuant to the Underwriting Agreement governing the terms of the Offering.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its transfer agent and registrar are hereby authorized to decline to make any transfer of Securities if such transfer would constitute a violation or breach of this Lock-Up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the Shares or this Lock-Up Agreement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to enter into this Lock-Up Agreement or to sell any Shares.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Lock-Up Agreement shall be binding on the undersigned and the successors, heirs, personal representatives and assigns of the undersigned. This Lock-Up Agreement shall lapse and become null and void at the earliest of (i) the time the Company notifies you in writing that it does not intend to proceed with the Offering, (ii) the Underwriting Agreement is terminated for any reason prior to the sale of the Securities to the Underwriters and (iii) if the Public Offering Date shall not have occurred on or before April 15, 2026. </w:t>
      </w:r>
      <w:r>
        <w:rPr>
          <w:rFonts w:ascii="Times New Roman" w:cs="Times New Roman" w:eastAsia="Times New Roman" w:hAnsi="Times New Roman"/>
          <w:sz w:val="18"/>
          <w:szCs w:val="18"/>
          <w:b w:val="1"/>
          <w:bCs w:val="1"/>
          <w:color w:val="auto"/>
        </w:rPr>
        <w:t>This agreement and any claim, controversy or dispute arising under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related to this agreement shall be governed by, and construed in accordance with,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jc w:val="right"/>
        <w:ind w:right="7599"/>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1665605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1691640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00" w:lineRule="exact"/>
        <w:rPr>
          <w:sz w:val="20"/>
          <w:szCs w:val="20"/>
          <w:color w:val="auto"/>
        </w:rPr>
      </w:pPr>
    </w:p>
    <w:p>
      <w:pPr>
        <w:spacing w:after="0" w:line="24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April 17, 2026</w:t>
      </w: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T1 ENERGY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4.00%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1980565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046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r>
      <w:tr>
        <w:trPr>
          <w:trHeight w:val="439"/>
        </w:trPr>
        <w:tc>
          <w:tcPr>
            <w:tcW w:w="104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203"/>
        </w:trPr>
        <w:tc>
          <w:tcPr>
            <w:tcW w:w="10460" w:type="dxa"/>
            <w:vAlign w:val="bottom"/>
            <w:shd w:val="clear" w:color="auto" w:fill="CCEEFF"/>
          </w:tcPr>
          <w:p>
            <w:pPr>
              <w:jc w:val="center"/>
              <w:ind w:left="690"/>
              <w:spacing w:after="0" w:line="202" w:lineRule="exact"/>
              <w:rPr>
                <w:sz w:val="20"/>
                <w:szCs w:val="20"/>
                <w:color w:val="auto"/>
              </w:rPr>
            </w:pPr>
            <w:r>
              <w:rPr>
                <w:rFonts w:ascii="Times New Roman" w:cs="Times New Roman" w:eastAsia="Times New Roman" w:hAnsi="Times New Roman"/>
                <w:sz w:val="18"/>
                <w:szCs w:val="18"/>
                <w:color w:val="auto"/>
                <w:w w:val="98"/>
              </w:rPr>
              <w:t>ARTICLE 1</w:t>
            </w:r>
          </w:p>
        </w:tc>
        <w:tc>
          <w:tcPr>
            <w:tcW w:w="780" w:type="dxa"/>
            <w:vAlign w:val="bottom"/>
            <w:shd w:val="clear" w:color="auto" w:fill="CCEEFF"/>
          </w:tcPr>
          <w:p>
            <w:pPr>
              <w:spacing w:after="0"/>
              <w:rPr>
                <w:sz w:val="17"/>
                <w:szCs w:val="17"/>
                <w:color w:val="auto"/>
              </w:rPr>
            </w:pPr>
          </w:p>
        </w:tc>
      </w:tr>
      <w:tr>
        <w:trPr>
          <w:trHeight w:val="216"/>
        </w:trPr>
        <w:tc>
          <w:tcPr>
            <w:tcW w:w="10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ules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onstruction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cope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nterpretation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ase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Certain Terms of the Trust Indenture Act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Interpretation; Scope of Supplemental Indenture; Suppression of Base Indenture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2</w:t>
            </w: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Payments of Interest and Defaulted Amounts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Temporary 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CUSIP Numbers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3</w:t>
            </w: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Satisfaction and Discharge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4</w:t>
            </w: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780" w:type="dxa"/>
            <w:vAlign w:val="bottom"/>
            <w:shd w:val="clear" w:color="auto" w:fill="CCEEFF"/>
          </w:tcPr>
          <w:p>
            <w:pPr>
              <w:spacing w:after="0"/>
              <w:rPr>
                <w:sz w:val="18"/>
                <w:szCs w:val="18"/>
                <w:color w:val="auto"/>
              </w:rPr>
            </w:pPr>
          </w:p>
        </w:tc>
      </w:tr>
      <w:tr>
        <w:trPr>
          <w:trHeight w:val="216"/>
        </w:trPr>
        <w:tc>
          <w:tcPr>
            <w:tcW w:w="10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Annual Reports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Lists of Holders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 Communications With Holders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r>
              <w:rPr>
                <w:rFonts w:ascii="Times New Roman" w:cs="Times New Roman" w:eastAsia="Times New Roman" w:hAnsi="Times New Roman"/>
                <w:sz w:val="18"/>
                <w:szCs w:val="18"/>
                <w:i w:val="1"/>
                <w:iCs w:val="1"/>
                <w:color w:val="auto"/>
              </w:rPr>
              <w:t>. Reports by the Trustee</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8"/>
              </w:rPr>
              <w:t>ARTICLE 6</w:t>
            </w:r>
          </w:p>
        </w:tc>
        <w:tc>
          <w:tcPr>
            <w:tcW w:w="1700" w:type="dxa"/>
            <w:vAlign w:val="bottom"/>
          </w:tcPr>
          <w:p>
            <w:pPr>
              <w:spacing w:after="0"/>
              <w:rPr>
                <w:sz w:val="18"/>
                <w:szCs w:val="18"/>
                <w:color w:val="auto"/>
              </w:rPr>
            </w:pPr>
          </w:p>
        </w:tc>
      </w:tr>
      <w:tr>
        <w:trPr>
          <w:trHeight w:val="216"/>
        </w:trPr>
        <w:tc>
          <w:tcPr>
            <w:tcW w:w="954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17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54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8"/>
              </w:rPr>
              <w:t>ARTICLE 7</w:t>
            </w:r>
          </w:p>
        </w:tc>
        <w:tc>
          <w:tcPr>
            <w:tcW w:w="1700" w:type="dxa"/>
            <w:vAlign w:val="bottom"/>
            <w:shd w:val="clear" w:color="auto" w:fill="CCEEFF"/>
          </w:tcPr>
          <w:p>
            <w:pPr>
              <w:spacing w:after="0"/>
              <w:rPr>
                <w:sz w:val="18"/>
                <w:szCs w:val="18"/>
                <w:color w:val="auto"/>
              </w:rPr>
            </w:pPr>
          </w:p>
        </w:tc>
      </w:tr>
      <w:tr>
        <w:trPr>
          <w:trHeight w:val="216"/>
        </w:trPr>
        <w:tc>
          <w:tcPr>
            <w:tcW w:w="954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tc>
        <w:tc>
          <w:tcPr>
            <w:tcW w:w="17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to Be Held in Trust</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i w:val="1"/>
                <w:iCs w:val="1"/>
                <w:color w:val="auto"/>
              </w:rPr>
              <w:t>Preferential Collection of Claims Against the Company</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8"/>
              </w:rPr>
              <w:t>ARTICLE 8</w:t>
            </w: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r>
              <w:rPr>
                <w:rFonts w:ascii="Times New Roman" w:cs="Times New Roman" w:eastAsia="Times New Roman" w:hAnsi="Times New Roman"/>
                <w:sz w:val="18"/>
                <w:szCs w:val="18"/>
                <w:i w:val="1"/>
                <w:iCs w:val="1"/>
                <w:color w:val="auto"/>
              </w:rPr>
              <w:t>. Action by Holders</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8"/>
              </w:rPr>
              <w:t>ARTICLE 9</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r>
              <w:rPr>
                <w:rFonts w:ascii="Times New Roman" w:cs="Times New Roman" w:eastAsia="Times New Roman" w:hAnsi="Times New Roman"/>
                <w:sz w:val="18"/>
                <w:szCs w:val="18"/>
                <w:i w:val="1"/>
                <w:iCs w:val="1"/>
                <w:color w:val="auto"/>
              </w:rPr>
              <w:t>. Qualifications for Voting</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3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ARTICLE 10</w:t>
            </w: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mendments</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and Amendments Without Consent of Holders</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and Amendments with Consent of Holders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 and Amendments</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or Amendment to Be Furnished Trustee</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7"/>
              </w:rPr>
              <w:t>ARTICLE 11</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11.03</w:t>
            </w:r>
            <w:r>
              <w:rPr>
                <w:rFonts w:ascii="Times New Roman" w:cs="Times New Roman" w:eastAsia="Times New Roman" w:hAnsi="Times New Roman"/>
                <w:sz w:val="18"/>
                <w:szCs w:val="18"/>
                <w:i w:val="1"/>
                <w:iCs w:val="1"/>
                <w:color w:val="auto"/>
              </w:rPr>
              <w:t>. Opinion Of Counsel to Be Given to Trustee</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3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ARTICLE 12</w:t>
            </w: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938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ARTICLE 13</w:t>
            </w:r>
          </w:p>
        </w:tc>
        <w:tc>
          <w:tcPr>
            <w:tcW w:w="1860" w:type="dxa"/>
            <w:vAlign w:val="bottom"/>
          </w:tcPr>
          <w:p>
            <w:pPr>
              <w:spacing w:after="0"/>
              <w:rPr>
                <w:sz w:val="18"/>
                <w:szCs w:val="18"/>
                <w:color w:val="auto"/>
              </w:rPr>
            </w:pPr>
          </w:p>
        </w:tc>
      </w:tr>
      <w:tr>
        <w:trPr>
          <w:trHeight w:val="216"/>
        </w:trPr>
        <w:tc>
          <w:tcPr>
            <w:tcW w:w="938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18"/>
                <w:szCs w:val="18"/>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196"/>
        </w:trPr>
        <w:tc>
          <w:tcPr>
            <w:tcW w:w="10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w:t>
            </w:r>
          </w:p>
        </w:tc>
        <w:tc>
          <w:tcPr>
            <w:tcW w:w="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68</w:t>
            </w:r>
          </w:p>
        </w:tc>
      </w:tr>
      <w:tr>
        <w:trPr>
          <w:trHeight w:val="236"/>
        </w:trPr>
        <w:tc>
          <w:tcPr>
            <w:tcW w:w="10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 Notice</w:t>
            </w:r>
          </w:p>
        </w:tc>
        <w:tc>
          <w:tcPr>
            <w:tcW w:w="740" w:type="dxa"/>
            <w:vAlign w:val="bottom"/>
          </w:tcPr>
          <w:p>
            <w:pPr>
              <w:spacing w:after="0"/>
              <w:rPr>
                <w:sz w:val="20"/>
                <w:szCs w:val="20"/>
                <w:color w:val="auto"/>
              </w:rPr>
            </w:pP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[Reserved]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Stockholder Rights Plans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Exchange in Lieu of Conversion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16"/>
        </w:trPr>
        <w:tc>
          <w:tcPr>
            <w:tcW w:w="10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ARTICLE 15</w:t>
            </w: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10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ARTICLE 16</w:t>
            </w: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 on or after April 20, 2029</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Redemption Notice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Optional Redemption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Optional Redemption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16.05</w:t>
            </w:r>
            <w:r>
              <w:rPr>
                <w:rFonts w:ascii="Times New Roman" w:cs="Times New Roman" w:eastAsia="Times New Roman" w:hAnsi="Times New Roman"/>
                <w:sz w:val="18"/>
                <w:szCs w:val="18"/>
                <w:i w:val="1"/>
                <w:iCs w:val="1"/>
                <w:color w:val="auto"/>
              </w:rPr>
              <w:t>. Sinking Fund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10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ARTICLE 17</w:t>
            </w: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Entity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i w:val="1"/>
                <w:iCs w:val="1"/>
                <w:color w:val="auto"/>
              </w:rPr>
              <w:t>Electronic Signatures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17.18</w:t>
            </w:r>
            <w:r>
              <w:rPr>
                <w:rFonts w:ascii="Times New Roman" w:cs="Times New Roman" w:eastAsia="Times New Roman" w:hAnsi="Times New Roman"/>
                <w:sz w:val="18"/>
                <w:szCs w:val="18"/>
                <w:i w:val="1"/>
                <w:iCs w:val="1"/>
                <w:color w:val="auto"/>
              </w:rPr>
              <w:t>. Withholding Taxes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17.19</w:t>
            </w:r>
            <w:r>
              <w:rPr>
                <w:rFonts w:ascii="Times New Roman" w:cs="Times New Roman" w:eastAsia="Times New Roman" w:hAnsi="Times New Roman"/>
                <w:sz w:val="18"/>
                <w:szCs w:val="18"/>
                <w:i w:val="1"/>
                <w:iCs w:val="1"/>
                <w:color w:val="auto"/>
              </w:rPr>
              <w:t>. Trust Indenture Act Controls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0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39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TRUST INDENTURE ACT CROSS-REFERENCE TABLE</w:t>
            </w:r>
            <w:r>
              <w:rPr>
                <w:rFonts w:ascii="Times New Roman" w:cs="Times New Roman" w:eastAsia="Times New Roman" w:hAnsi="Times New Roman"/>
                <w:sz w:val="29"/>
                <w:szCs w:val="29"/>
                <w:b w:val="1"/>
                <w:bCs w:val="1"/>
                <w:color w:val="auto"/>
                <w:vertAlign w:val="superscript"/>
              </w:rPr>
              <w:t>1</w:t>
            </w:r>
          </w:p>
        </w:tc>
        <w:tc>
          <w:tcPr>
            <w:tcW w:w="4260" w:type="dxa"/>
            <w:vAlign w:val="bottom"/>
          </w:tcPr>
          <w:p>
            <w:pPr>
              <w:spacing w:after="0"/>
              <w:rPr>
                <w:sz w:val="24"/>
                <w:szCs w:val="24"/>
                <w:color w:val="auto"/>
              </w:rPr>
            </w:pPr>
          </w:p>
        </w:tc>
      </w:tr>
      <w:tr>
        <w:trPr>
          <w:trHeight w:val="3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198"/>
        </w:trPr>
        <w:tc>
          <w:tcPr>
            <w:tcW w:w="67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310(a)</w:t>
            </w:r>
          </w:p>
        </w:tc>
        <w:tc>
          <w:tcPr>
            <w:tcW w:w="220" w:type="dxa"/>
            <w:vAlign w:val="bottom"/>
          </w:tcPr>
          <w:p>
            <w:pPr>
              <w:spacing w:after="0"/>
              <w:rPr>
                <w:sz w:val="17"/>
                <w:szCs w:val="17"/>
                <w:color w:val="auto"/>
              </w:rPr>
            </w:pPr>
          </w:p>
        </w:tc>
        <w:tc>
          <w:tcPr>
            <w:tcW w:w="4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7.08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5.02(b)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5.02(b)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5.03(a)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5.03(b)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5.03(a)</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5.03(b)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313(d)</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314(d)</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314(f)</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315(d)</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4.04</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17.19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SECOND SUPPLEMENTAL INDENTURE, dated as of April 17, 2026 between T1 ENERGY INC., a Delaware corporation, as issuer (the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 to the Base Indenture (as defined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$184,000,000, and in order to provide the terms and conditions upon which the Notes are to be authenticated, issued and delivered, the Company has duly authorized the execution and delivery of this Supplemental Indenture (as defined below) pursuant to Section 2.01, Section 3.01 and Section 14.01(p) of the Base Indenture;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the Indenture (as defined below) provided, the valid, binding and legal obligations of the Company, and the Indenture the valid, binding and legal obligations of the Company, have been done and performed, and the execution of this Supplemental Indenture and the issuance hereunder of the Notes have in all respects been duly authorized.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ules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onstruction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cope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nterpretation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ase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Subject to the last paragraph of Section‎ 1.03, capitalized terms used in this Supplemental Indenture without definition have the respective meanings ascribed to them in the Base Indenture. For purposes of the Notes, the following additional definitions will apply and supersede any conflicting definitions in the Base Indenture. The words “herein,” “hereof,” “hereunder” and words of similar import refer to this Supplemental Indenture as a whole and not to any particular Article, Section or other subdivision. Unless express reference is made to the Base Indenture, each Article, Section, clause, paragraph, other subdivision or exhibit reference in this Supplemental Indenture refers to the referenced Article, Section, clause, paragraph, other subdivision or exhibit, as applicable, of this Supplemental Indenture. The terms defined in this Article include the plural as well as the singular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means the provisions set forth in Section‎ 14.04(k).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the Indenture shall be made based on the facts at the time such determination is made or required to be made, as the case may be, 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Bid Solicitation Agent, Custodian, Conversion Agent, Note Registrar, Paying Agent or co-Note Registrar.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shall have the meaning specified in Section‎ 2.03(a).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means that certain Indenture, dated as of December 16, 2025, between the Company and the Trustee.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 The Company may, however, appoint another Person to act as Bid Solicitation Agent at any time without prior notice to Holders.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or commercial banks in New York are authorized or required by law or executive order to close or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redemption pursuant to Article 16 or subject to a Deemed Redemption.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securities that are convertible into or exchangeable for Capital Stock shall not constitute Capital Stock prior to their conversion or exchange, as the case may be.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Amended and Restated Certificate of Incorporation, as amended and/or restated from time to time,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on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$0.01 per share, at the date of this Supplemental Indenture, subject to ‎Section 14.07.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Supplemental Indenture, and subject to the provisions of Article‎ 11, shall include its successors and assigns.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the Company’s Chief Executive Officer, Chief Operating Officer, Chief Financial Officer, General Counsel, or any director of the Board of Directors, and delivered to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the Indenture shall be administered, which office at the date hereof is located at U.S. Bank Trust Company, National Association, 5065 Wooster Road, Cincinnati, OH 45226, Attn: T1 Energy Notes Administrator (S. Gomes),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40 consecutive VWAP Trading Days during the Observation Period, 2.5% of the product of (a) the Conversion Rate in effect immediately after the close business on such VWAP Trading Day and (b) the Daily VWAP for such VWAP Trading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40 consecutive VWAP Trading Days during the Observation Period, shall consist of:</w:t>
      </w:r>
    </w:p>
    <w:p>
      <w:pPr>
        <w:spacing w:after="0" w:line="229" w:lineRule="exact"/>
        <w:rPr>
          <w:sz w:val="20"/>
          <w:szCs w:val="20"/>
          <w:color w:val="auto"/>
        </w:rPr>
      </w:pPr>
    </w:p>
    <w:p>
      <w:pPr>
        <w:ind w:left="1540" w:hanging="236"/>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on such VWAP Trading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VWAP Trading Day.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40 consecutive VWAP Trading Days during the relevant Observation Period, the per share volume-weighted average price as displayed under the heading “Bloomberg VWAP” on Bloomberg page “TE &lt;equity&gt; AQR” (or its equivalent successor if such page is not available) in respect of the period from the scheduled open of trading until the scheduled close of trading of the primary trading session on such VWAP Trading Day (or if such volume-weighted average price is unavailable, the market value of one share of the Common Stock on such VWAP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cash consideration due upon conversion, the Fundamental Change Repurchase Price, principal and interest) that are payable but are not punctually paid or duly provided for.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the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in Lieu of Conversion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Ownership Limitations</w:t>
      </w:r>
      <w:r>
        <w:rPr>
          <w:rFonts w:ascii="Times New Roman" w:cs="Times New Roman" w:eastAsia="Times New Roman" w:hAnsi="Times New Roman"/>
          <w:sz w:val="18"/>
          <w:szCs w:val="18"/>
          <w:color w:val="auto"/>
        </w:rPr>
        <w:t>” means the restrictions on ownership of the Company’s stock by certain specified foreign entities as set forth in the Certificate of Incorporation.</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in substantially the form attached as Attachment 3 to the Form of Note attached hereto as Exhibit A.</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in substantially the form attached as Attachment 2 to the Form of Note attached hereto as Exhibit 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in substantially the form attached as Attachment 1 to the Form of Note attached hereto as Exhibit A.</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left="660" w:firstLine="644"/>
        <w:spacing w:after="0" w:line="261" w:lineRule="auto"/>
        <w:tabs>
          <w:tab w:leader="none" w:pos="15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Exchange Act, other than the Company, its direct or indirect Wholly Owned Subsidiaries and the employee benefit plans of the Company and its direct or indirect Wholly Owned Subsidiaries, files a Schedule TO or any schedule, form or report under the Exchange Act disclosing that such person or group has become the direct or indirect “beneficial owner,” as defined in Rule 13d-3 under the Exchange Act, of the Common Stock representing more than 50% of the voting power of the Common Stock;</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Common Stock (other than a change only in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or depositary receipts in respect of Common Equity, in each case, into which the Notes become convertible) ceases to be listed or quoted on any of The New York Stock Exchange, the NYSE American, The Nasdaq Global Select Market, The Nasdaq Global Market or The Nasdaq Capital Market (or any of their respective successors);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 least 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consideration received or to be received by the common stockholders of the Company, excluding cash payments for fractional shares and cash payments made pursuant to dissenters’ appraisal rights, in connection with such transaction or transactions consists of shares of common stock or depositary receipts in respect of Common Equity, in each case,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pursuant to dissenters’ appraisal rights (subject to the provisions of ‎Section 14.02(a)).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immediately following clause (d) of this definition, following the effective date of such transaction) references to the Company in this definition shall instead be references to such other entity.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Solely for the purposes of this definition (but, for the avoidance of doubt, not for purposes of the definition of Make-Whole Fundamental Change),</w:t>
      </w:r>
    </w:p>
    <w:p>
      <w:pPr>
        <w:spacing w:after="0" w:line="27" w:lineRule="exact"/>
        <w:rPr>
          <w:sz w:val="20"/>
          <w:szCs w:val="20"/>
          <w:color w:val="auto"/>
        </w:rPr>
      </w:pPr>
    </w:p>
    <w:p>
      <w:pPr>
        <w:ind w:firstLine="8"/>
        <w:spacing w:after="0" w:line="260" w:lineRule="auto"/>
        <w:tabs>
          <w:tab w:leader="none" w:pos="2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event described in both clause (a) and in clause (b)(A) or (B) above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shall be deemed to occur solely pursuant to clause (b) above (subject to such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with respect to any notice to be given to a Holder pursuant to the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or sent via overnight courier at its address as it appears on the Note Register (in the case of a Physical Note), in each case, in accordance with ‎Section 17.03. Notice so “given” shall be deemed to include any notice to be “mailed” or “delivered,” as applicable, under the Indenture.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Base Indenture, as amended by this Supplemental Indenture, and as the same may be further amended or supplemented from time to time as herein provided with respect to the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April 15 and October 15 of each year, beginning on October 15, 2026.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(or other security for which a closing sale price must be determined) on any date means the closing sale price (or if no closing sale price is reported, the average of the bid and ask prices or, if more than one in either case, the average of the average bid and the average ask prices) per share of Common Stock (or such other security)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per share of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per share of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April 15,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Supplemental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14.02(b)(ii)(A).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below, if the relevant Conversion Date occurs prior to January 15, 2031, the 40 consecutive VWAP Trading Day period beginning on, and including, the second VWAP Trading Day immediately succeeding such Conversion Date; (ii) with respect to any Called Notes, if the relevant Conversion Date occurs during a Redemption Period with respect to such Called Notes, the 40 consecutive VWAP Trading Days beginning on, and including, the 41st Scheduled Trading Day immediately preceding the related Redemption Date; and (iii) subject to clause (ii) above, if the relevant Conversion Date occurs on or after January 15, 2031, the 40 consecutive VWAP Trading Days beginning on, and including, the 41st Scheduled Trading Day immediately preceding the Maturity Date.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the Chief Executive Officer, the Chief Financial Officer, the Chief Legal &amp; Policy Officer, the Treasurer, any Assistant Treasurer, the Controller, the Secretary or any Assistant Secretary and any Vice President of the Company.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on behalf of the Company by an Officer of the Company. Each such certificate shall include the statements provided for in ‎Section 17.05 if and to the extent required by the provisions of such Section.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who 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reasonably acceptable to the Trustee, that is delivered to the Trustee. Each such opinion shall include the statements provided for in Section‎ 17.05 if and to the extent required by the provisions of such ‎Section 17.05.</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16.01(a).</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Supplemental Indenture, except:</w:t>
      </w:r>
    </w:p>
    <w:p>
      <w:pPr>
        <w:spacing w:after="0" w:line="159" w:lineRule="exact"/>
        <w:rPr>
          <w:sz w:val="20"/>
          <w:szCs w:val="20"/>
          <w:color w:val="auto"/>
        </w:rPr>
      </w:pPr>
    </w:p>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Section‎ 2.06 or Notes in lieu of which, or in substitution for which, other Notes shall have been</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authenticated and delivered pursuant to the terms of Section‎ 2.06 unless proof satisfactory to the Trustee is presented that any such Notes are held by protected purchasers in due course;</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Authorized Denominations.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means the preliminary prospectus supplement dated April 14, 2026, as supplemented by the related pricing term sheet dated April 14, 2026, relating to the offering and sale of the Notes.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w:t>
      </w:r>
      <w:r>
        <w:rPr>
          <w:rFonts w:ascii="Times New Roman" w:cs="Times New Roman" w:eastAsia="Times New Roman" w:hAnsi="Times New Roman"/>
          <w:sz w:val="18"/>
          <w:szCs w:val="18"/>
          <w:color w:val="auto"/>
        </w:rPr>
        <w:t xml:space="preserve">r,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all of the following conditions are satisfied: (1) either (x) such limited liability company or limited partnership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shall not be treated as an exchange under Section 1001 of the Internal Revenue Code of 1986, as amended, for Holders or beneficial owners of the Notes; (2) such Business Combination Event constitutes a Share Exchange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or limited partnership; and (3) if such limited liability company or limited partnership is disregarded as separate from its owner for U.S. federal income tax purposes, its regarded owner for those purposes is an entity described in clause (ii)(2).</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shall have the meaning specified in Section‎ 16.02(a).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any Optional Redemption, the period from, and including, the date the Company delivers the Redemption Notice for such Optional Redemption, until the close of business on the second Scheduled Trading Day immediately preceding the related Redemption Date (or, if the Company defaults in the payment of the Redemption Price, until the Redemption Price has been paid or duly provided for).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Article‎ 16,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applicable Redemption Date (unless such Redemption Date falls after a Regular Record Date but on or prior to the immediately succeeding Interest Payment Date, in which case interest accrued on such Notes to the Interest Payment Date will be paid to Holders of record of such Notes as of the close of business on such Regular Record Date, and the Redemption Price will be equal to 100% of the principal amount of such Notes).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April 1 or October 1 (whether or not such day is a Business Day) immediately preceding the applicable April 15 or October 15 Interest Payment Date, respectively.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Office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the Indenture is referred because of such person’s knowledge of and familiarity with the particular subject and, in each case, who shall have direct responsibility for the administration of the Indenture.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 Election Deadline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has the meaning specified in Section‎ 14.07(a).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of the Company that is a “significant subsidiary” within the meaning of Rule 1-02(w) under Regulation S-X promulgated pursuant to the Securities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in respect of the conversion of any Note, the maximum cash amount (excluding cash in lieu of any fractional share) per $1,000 principal amount of such Notes to be received upon conversion as specified in the Settlement Notice related to any converted Notes (or as the Company is otherwise deemed to have elected).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more than 50% of the outstanding Voting Stock is owned, directly or indirectly, by such Person and one or more Subsidiaries of such Person (or a combination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specified in Section‎ 11.01(a)(i)(A).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means this Second Supplemental Indenture, as amended or supplemented from time to time.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New York Stock Exchange or, if the Common Stock (or such other security) is not then listed on The New York Stock Exchange,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$1,000,000 principal amount of Notes at approximately 3:30 p.m., New York City time, on such determination date from three independent nationally recognized securities dealers the Company selects for this purpose, which may include one or more of the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Bid Solicitation Agent but two such bids are obtained, then the average of the two bids shall be used as the Trading Price, and if only one such bid can reasonably be obtained by the Bid Solicitation Agent, that one bid shall be used as the Trading Price. If the Bid Solicitation Agent cannot reasonably obtain at least one bid for $1,000,000 principal amount of Notes from a nationally recognized securities dealer on any determination date, then the Trading Price per $1,000 principal amount of Notes on such determination date shall be deemed to be less than 98% of the product of the Last Reported Sale Price of the Common Stock and the Conversion Rate on such date of determination.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in the first paragraph of this Supplemental Indenture until a successor trustee shall have become such pursuant to the applicable provisions of the Indenture, and thereafter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shall mean or include each Person who is then a Trustee hereunder.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means Santander US Capital Markets LLC, J.P. Morgan Securities LLC, BTIG, LLC, HSBC Securities (USA) Inc., SG Americas Securities, LLC, Roth Capital Partners, LLC and Johnson Rice &amp; Company L.L.C.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Payment Date</w:t>
      </w:r>
      <w:r>
        <w:rPr>
          <w:rFonts w:ascii="Times New Roman" w:cs="Times New Roman" w:eastAsia="Times New Roman" w:hAnsi="Times New Roman"/>
          <w:sz w:val="18"/>
          <w:szCs w:val="18"/>
          <w:color w:val="auto"/>
        </w:rPr>
        <w:t>” means any day other than a Saturday, a Sunday or a day on which banking institutions in the place of payment are authorized or required by law or executive order to close or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with respect to any Person, Capital Stock of any class or kind ordinarily having the power to vote for the election of directors, managers or other voting members of the governing body of such Person.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(i) there is no Market Disruption Event and (ii)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If the Common Stock is not so listed or admitted for trading, “</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Business Day.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Supplemental Indenture shall be deemed to include Additional Interest if, in such context, Additional Interest is, was or would be payable pursuant to ‎Section 6.03. Unless the context otherwise requires, any express mention of Additional Interest in any provision hereof shall not be construed as excluding Additional Interest in those provisions hereof where such express mention is not made.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Certain Terms of the Trust Indenture Act</w:t>
      </w:r>
      <w:r>
        <w:rPr>
          <w:rFonts w:ascii="Times New Roman" w:cs="Times New Roman" w:eastAsia="Times New Roman" w:hAnsi="Times New Roman"/>
          <w:sz w:val="18"/>
          <w:szCs w:val="18"/>
          <w:color w:val="auto"/>
        </w:rPr>
        <w:t>. For purposes of the Indenture, the following terms of the Trust Indenture Act have the following meanings:</w:t>
      </w:r>
    </w:p>
    <w:p>
      <w:pPr>
        <w:spacing w:after="0" w:line="160" w:lineRule="exact"/>
        <w:rPr>
          <w:sz w:val="20"/>
          <w:szCs w:val="20"/>
          <w:color w:val="auto"/>
        </w:rPr>
      </w:pPr>
    </w:p>
    <w:p>
      <w:pPr>
        <w:ind w:left="1840" w:hanging="212"/>
        <w:spacing w:after="0"/>
        <w:tabs>
          <w:tab w:leader="none" w:pos="1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securities” means the Notes;</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security holder” means a Holder;</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to be qualified” means the Indenture;</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trustee” or “institutional trustee” means the Trustee; and</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“obligor” on the indenture securities means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the Indenture that are defined by the Trust Indenture Act (including by reference to another statute) or the related rules of the Commission, and not defined in the Indenture, have the respective meanings so defined by the Trust Indenture Act or such rules.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Interpretation; Scope of Supplemental Indenture; Suppression of Base Indenture</w:t>
      </w:r>
      <w:r>
        <w:rPr>
          <w:rFonts w:ascii="Times New Roman" w:cs="Times New Roman" w:eastAsia="Times New Roman" w:hAnsi="Times New Roman"/>
          <w:sz w:val="18"/>
          <w:szCs w:val="18"/>
          <w:color w:val="auto"/>
        </w:rPr>
        <w:t>. (a) The amendments to the Base Indenture made by this Supplemental Indenture will apply solely with respect to the Notes and not with respect to any other class or series of Securities. For purposes of the Notes, if any provision of this Supplemental Indenture conflicts with any provision of the Base Indenture, then this Supplemental Indenture will control to the extent of such conflict.</w:t>
      </w:r>
    </w:p>
    <w:p>
      <w:pPr>
        <w:spacing w:after="0" w:line="182" w:lineRule="exact"/>
        <w:rPr>
          <w:sz w:val="20"/>
          <w:szCs w:val="20"/>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1.04(a), for purposes of the Notes:</w:t>
      </w:r>
    </w:p>
    <w:p>
      <w:pPr>
        <w:spacing w:after="0" w:line="22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3.11(b), Section 3.11(c), Section 3.12, Article V and Article XV of the Base Indenture will not apply to the Notes;</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2.02, Section 2.03, Sections 3.03(a) through Section 3.03(f) and Section 3.03(j) of the Base Indenture will not apply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will instead be deemed to be replaced with Section‎ 2.03(a), Section‎ 2.04 and Section‎ 17.10 of this Supplemental Indenture;</w:t>
      </w:r>
    </w:p>
    <w:p>
      <w:pPr>
        <w:spacing w:after="0" w:line="206" w:lineRule="exact"/>
        <w:rPr>
          <w:rFonts w:ascii="Times New Roman" w:cs="Times New Roman" w:eastAsia="Times New Roman" w:hAnsi="Times New Roman"/>
          <w:sz w:val="18"/>
          <w:szCs w:val="18"/>
          <w:color w:val="auto"/>
        </w:rPr>
      </w:pPr>
    </w:p>
    <w:p>
      <w:pPr>
        <w:ind w:left="660" w:firstLine="968"/>
        <w:spacing w:after="0" w:line="282" w:lineRule="auto"/>
        <w:tabs>
          <w:tab w:leader="none" w:pos="19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 of the Base Indenture will not apply to the Notes and will instead be deemed to be replaced with Section‎ 2.03(a) of this Supplemental Indenture;</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3.03(g) through Section 3.03(i) of the Base Indenture will not apply to the Notes and will instead be deemed to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with Section‎ 2.05 of this Supplemental Indenture.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0" w:name="page61"/>
    <w:bookmarkEnd w:id="60"/>
    <w:p>
      <w:pPr>
        <w:ind w:firstLine="968"/>
        <w:spacing w:after="0" w:line="282" w:lineRule="auto"/>
        <w:tabs>
          <w:tab w:leader="none" w:pos="12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3.04 of the Base Indenture will not apply to the Notes and will instead be deemed to be replaced with Section‎ 2.07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2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3.05 of the Base Indenture will not apply to the Notes and will instead be deemed to be replaced with Section‎ 2.05(a)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3.06 of the Base Indenture will not apply to the Notes and will instead be deemed to be replaced with Section‎ 2.05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3.07 of the Base Indenture will not apply to the Notes and will instead be deemed to be replaced with Section‎ 2.06 of this Supplemental Indenture;</w:t>
      </w:r>
    </w:p>
    <w:p>
      <w:pPr>
        <w:spacing w:after="0" w:line="161" w:lineRule="exact"/>
        <w:rPr>
          <w:rFonts w:ascii="Times New Roman" w:cs="Times New Roman" w:eastAsia="Times New Roman" w:hAnsi="Times New Roman"/>
          <w:sz w:val="18"/>
          <w:szCs w:val="18"/>
          <w:color w:val="auto"/>
        </w:rPr>
      </w:pPr>
    </w:p>
    <w:p>
      <w:pPr>
        <w:ind w:left="1280" w:hanging="312"/>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3.08 of the Base Indenture will not apply to the Notes and will instead be deemed to be replaced with Section‎ 2.03(b),</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2.03(c) and Section‎ 2.05(a) of this Supplemental Indenture;</w:t>
      </w:r>
    </w:p>
    <w:p>
      <w:pPr>
        <w:spacing w:after="0" w:line="206" w:lineRule="exact"/>
        <w:rPr>
          <w:rFonts w:ascii="Times New Roman" w:cs="Times New Roman" w:eastAsia="Times New Roman" w:hAnsi="Times New Roman"/>
          <w:sz w:val="18"/>
          <w:szCs w:val="18"/>
          <w:color w:val="auto"/>
        </w:rPr>
      </w:pPr>
    </w:p>
    <w:p>
      <w:pPr>
        <w:ind w:firstLine="968"/>
        <w:spacing w:after="0" w:line="282" w:lineRule="auto"/>
        <w:tabs>
          <w:tab w:leader="none" w:pos="12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3.09 of the Base Indenture will not apply to the Notes and will instead be deemed to be replaced with Section‎ 2.08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2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 of the Base Indenture will not apply to the Notes and will instead be deemed to be replaced with Section‎ 2.03(a)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 of the Base Indenture will not apply to the Notes and will instead be deemed to be replaced with Section‎ 2.09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of the Base Indenture will not apply to the Notes and will instead be deemed to be replaced with Article‎ 16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 of the Base Indenture will not apply to the Notes and will instead be deemed to be replaced with Section‎ 4.01 of this Supplemental Indenture;</w:t>
      </w:r>
    </w:p>
    <w:p>
      <w:pPr>
        <w:spacing w:after="0" w:line="161" w:lineRule="exact"/>
        <w:rPr>
          <w:rFonts w:ascii="Times New Roman" w:cs="Times New Roman" w:eastAsia="Times New Roman" w:hAnsi="Times New Roman"/>
          <w:sz w:val="18"/>
          <w:szCs w:val="18"/>
          <w:color w:val="auto"/>
        </w:rPr>
      </w:pPr>
    </w:p>
    <w:p>
      <w:pPr>
        <w:ind w:left="1320" w:hanging="352"/>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6.02 of the Base Indenture will not apply to the Notes and will instead be deemed to be replaced with Section‎ 4.02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4.04 of this Supplemental Indenture;</w:t>
      </w:r>
    </w:p>
    <w:p>
      <w:pPr>
        <w:spacing w:after="0" w:line="206" w:lineRule="exact"/>
        <w:rPr>
          <w:rFonts w:ascii="Times New Roman" w:cs="Times New Roman" w:eastAsia="Times New Roman" w:hAnsi="Times New Roman"/>
          <w:sz w:val="18"/>
          <w:szCs w:val="18"/>
          <w:color w:val="auto"/>
        </w:rPr>
      </w:pPr>
    </w:p>
    <w:p>
      <w:pPr>
        <w:ind w:firstLine="968"/>
        <w:spacing w:after="0" w:line="282" w:lineRule="auto"/>
        <w:tabs>
          <w:tab w:leader="none" w:pos="13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6.03 of the Base Indenture will not apply to the Notes and will instead be deemed to be replaced with Section‎ 4.04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6.05 of the Base Indenture will not apply to the Notes and will instead be deemed to be replaced with Section‎ 4.08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6.06 of the Base Indenture will not apply to the Notes and will instead be deemed to be replaced with Section‎ 10.02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6.07 of the Base Indenture will not apply to the Notes and will instead be deemed to be replaced with Section‎ 4.08 of this Supplemental Indenture;</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61" w:name="page62"/>
    <w:bookmarkEnd w:id="61"/>
    <w:p>
      <w:pPr>
        <w:ind w:firstLine="968"/>
        <w:spacing w:after="0" w:line="282" w:lineRule="auto"/>
        <w:tabs>
          <w:tab w:leader="none" w:pos="1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 of the Base Indenture will not apply to the Notes and will instead be deemed to be replaced with Article‎ 6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3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VIII of the Base Indenture will not apply to the Notes and will instead be deemed to be replaced with Article‎ 8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IX of the Base Indenture will not apply to the Notes and will instead be deemed to be replaced with Article‎ 9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10.01 of the Base Indenture will not apply to the Notes and will instead be deemed to be replaced with Section‎ 5.03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10.02 of the Base Indenture will not apply to the Notes and will instead be deemed to be replaced with Section‎ 4.06 of this Supplemental Indenture;</w:t>
      </w:r>
    </w:p>
    <w:p>
      <w:pPr>
        <w:spacing w:after="0" w:line="161" w:lineRule="exact"/>
        <w:rPr>
          <w:rFonts w:ascii="Times New Roman" w:cs="Times New Roman" w:eastAsia="Times New Roman" w:hAnsi="Times New Roman"/>
          <w:sz w:val="18"/>
          <w:szCs w:val="18"/>
          <w:color w:val="auto"/>
        </w:rPr>
      </w:pPr>
    </w:p>
    <w:p>
      <w:pPr>
        <w:ind w:right="20" w:firstLine="968"/>
        <w:spacing w:after="0" w:line="282" w:lineRule="auto"/>
        <w:tabs>
          <w:tab w:leader="none" w:pos="14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10.03 of the Base Indenture will not apply to the Notes and will instead be deemed to be replaced with Section‎ 5.01 of this Supplemental Indenture;</w:t>
      </w:r>
    </w:p>
    <w:p>
      <w:pPr>
        <w:spacing w:after="0" w:line="161" w:lineRule="exact"/>
        <w:rPr>
          <w:rFonts w:ascii="Times New Roman" w:cs="Times New Roman" w:eastAsia="Times New Roman" w:hAnsi="Times New Roman"/>
          <w:sz w:val="18"/>
          <w:szCs w:val="18"/>
          <w:color w:val="auto"/>
        </w:rPr>
      </w:pPr>
    </w:p>
    <w:p>
      <w:pPr>
        <w:ind w:left="1460" w:hanging="492"/>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 of the Base Indenture (other than Section 11.09 and Section 11.10 thereof) will not apply to the Notes and will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be deemed to be replaced with Article‎ 7 of this Supplemental Indenture;</w:t>
      </w:r>
    </w:p>
    <w:p>
      <w:pPr>
        <w:spacing w:after="0" w:line="206" w:lineRule="exact"/>
        <w:rPr>
          <w:rFonts w:ascii="Times New Roman" w:cs="Times New Roman" w:eastAsia="Times New Roman" w:hAnsi="Times New Roman"/>
          <w:sz w:val="18"/>
          <w:szCs w:val="18"/>
          <w:color w:val="auto"/>
        </w:rPr>
      </w:pPr>
    </w:p>
    <w:p>
      <w:pPr>
        <w:ind w:firstLine="968"/>
        <w:spacing w:after="0" w:line="282" w:lineRule="auto"/>
        <w:tabs>
          <w:tab w:leader="none" w:pos="15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11.09 of the Base Indenture will not apply to the Notes and will instead be deemed to be replaced with Section‎ 17.10 of this Supplemental Indenture;</w:t>
      </w:r>
    </w:p>
    <w:p>
      <w:pPr>
        <w:spacing w:after="0" w:line="161" w:lineRule="exact"/>
        <w:rPr>
          <w:rFonts w:ascii="Times New Roman" w:cs="Times New Roman" w:eastAsia="Times New Roman" w:hAnsi="Times New Roman"/>
          <w:sz w:val="18"/>
          <w:szCs w:val="18"/>
          <w:color w:val="auto"/>
        </w:rPr>
      </w:pPr>
    </w:p>
    <w:p>
      <w:pPr>
        <w:ind w:left="1560" w:hanging="592"/>
        <w:spacing w:after="0"/>
        <w:tabs>
          <w:tab w:leader="none" w:pos="1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11.10 of the Base Indenture will not apply to the Notes and will instead be deemed to be replaced with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5.02(b) of this Supplemental Indenture;</w:t>
      </w:r>
    </w:p>
    <w:p>
      <w:pPr>
        <w:spacing w:after="0" w:line="207" w:lineRule="exact"/>
        <w:rPr>
          <w:sz w:val="20"/>
          <w:szCs w:val="20"/>
          <w:color w:val="auto"/>
        </w:rPr>
      </w:pPr>
    </w:p>
    <w:p>
      <w:pPr>
        <w:ind w:firstLine="968"/>
        <w:spacing w:after="0" w:line="282" w:lineRule="auto"/>
        <w:tabs>
          <w:tab w:leader="none" w:pos="14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XII of the Base Indenture will not apply to the Notes and will instead be deemed to be replaced with Article‎ 3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XIII of the Base Indenture will not apply to the Notes and will instead be deemed to be replaced with Article‎ 12 of this Supplemental Indenture;</w:t>
      </w:r>
    </w:p>
    <w:p>
      <w:pPr>
        <w:spacing w:after="0" w:line="161" w:lineRule="exact"/>
        <w:rPr>
          <w:rFonts w:ascii="Times New Roman" w:cs="Times New Roman" w:eastAsia="Times New Roman" w:hAnsi="Times New Roman"/>
          <w:sz w:val="18"/>
          <w:szCs w:val="18"/>
          <w:color w:val="auto"/>
        </w:rPr>
      </w:pPr>
    </w:p>
    <w:p>
      <w:pPr>
        <w:ind w:right="20" w:firstLine="968"/>
        <w:spacing w:after="0" w:line="282" w:lineRule="auto"/>
        <w:tabs>
          <w:tab w:leader="none" w:pos="14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XIV of the Base Indenture will not apply to the Notes and will instead be deemed to be replaced with Article‎ 10 of this Supplemental Indenture;</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5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16.01 of the Base Indenture will not apply to the Notes and will instead be deemed to be replaced with Section‎ 17.05 of this Supplemental Indenture;</w:t>
      </w:r>
    </w:p>
    <w:p>
      <w:pPr>
        <w:spacing w:after="0" w:line="161" w:lineRule="exact"/>
        <w:rPr>
          <w:rFonts w:ascii="Times New Roman" w:cs="Times New Roman" w:eastAsia="Times New Roman" w:hAnsi="Times New Roman"/>
          <w:sz w:val="18"/>
          <w:szCs w:val="18"/>
          <w:color w:val="auto"/>
        </w:rPr>
      </w:pPr>
    </w:p>
    <w:p>
      <w:pPr>
        <w:ind w:left="1560" w:hanging="592"/>
        <w:spacing w:after="0"/>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16.03 and Section 16.04 of the Base Indenture will not apply to the Notes and will instead be deemed to be replaced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 17.03 of this Supplemental Indenture;</w:t>
      </w:r>
    </w:p>
    <w:p>
      <w:pPr>
        <w:spacing w:after="0" w:line="206" w:lineRule="exact"/>
        <w:rPr>
          <w:rFonts w:ascii="Times New Roman" w:cs="Times New Roman" w:eastAsia="Times New Roman" w:hAnsi="Times New Roman"/>
          <w:sz w:val="18"/>
          <w:szCs w:val="18"/>
          <w:color w:val="auto"/>
        </w:rPr>
      </w:pPr>
    </w:p>
    <w:p>
      <w:pPr>
        <w:ind w:firstLine="968"/>
        <w:spacing w:after="0" w:line="282" w:lineRule="auto"/>
        <w:tabs>
          <w:tab w:leader="none" w:pos="15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16.05 of the Base Indenture will not apply to the Notes and will instead be deemed to be replaced with Section‎ 17.06 of this Supplemental Indenture;</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62" w:name="page63"/>
    <w:bookmarkEnd w:id="62"/>
    <w:p>
      <w:pPr>
        <w:ind w:left="660" w:right="20" w:firstLine="968"/>
        <w:spacing w:after="0" w:line="282" w:lineRule="auto"/>
        <w:tabs>
          <w:tab w:leader="none" w:pos="21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16.06 of the Base Indenture will not apply to the Notes and will instead be deemed to be replaced with Section‎ 17.09 of this Supplemental Indenture;</w:t>
      </w:r>
    </w:p>
    <w:p>
      <w:pPr>
        <w:spacing w:after="0" w:line="161" w:lineRule="exact"/>
        <w:rPr>
          <w:rFonts w:ascii="Times New Roman" w:cs="Times New Roman" w:eastAsia="Times New Roman" w:hAnsi="Times New Roman"/>
          <w:sz w:val="18"/>
          <w:szCs w:val="18"/>
          <w:color w:val="auto"/>
        </w:rPr>
      </w:pPr>
    </w:p>
    <w:p>
      <w:pPr>
        <w:ind w:left="660" w:firstLine="968"/>
        <w:spacing w:after="0" w:line="282" w:lineRule="auto"/>
        <w:tabs>
          <w:tab w:leader="none" w:pos="22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16.07 of the Base Indenture will not apply to the Notes and will instead be deemed to be replaced with Section‎ 17.01 of this Supplemental Indenture;</w:t>
      </w:r>
    </w:p>
    <w:p>
      <w:pPr>
        <w:spacing w:after="0" w:line="161" w:lineRule="exact"/>
        <w:rPr>
          <w:rFonts w:ascii="Times New Roman" w:cs="Times New Roman" w:eastAsia="Times New Roman" w:hAnsi="Times New Roman"/>
          <w:sz w:val="18"/>
          <w:szCs w:val="18"/>
          <w:color w:val="auto"/>
        </w:rPr>
      </w:pPr>
    </w:p>
    <w:p>
      <w:pPr>
        <w:ind w:left="2260" w:hanging="632"/>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16.08 of the Base Indenture will not apply to the Notes and will instead be deemed to be replaced with Section‎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17.12 of this Supplemental Indenture;</w:t>
      </w:r>
    </w:p>
    <w:p>
      <w:pPr>
        <w:spacing w:after="0" w:line="207" w:lineRule="exact"/>
        <w:rPr>
          <w:sz w:val="20"/>
          <w:szCs w:val="20"/>
          <w:color w:val="auto"/>
        </w:rPr>
      </w:pPr>
    </w:p>
    <w:p>
      <w:pPr>
        <w:ind w:left="660" w:firstLine="968"/>
        <w:spacing w:after="0" w:line="282" w:lineRule="auto"/>
        <w:tabs>
          <w:tab w:leader="none" w:pos="2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16.09 of the Base Indenture will not apply to the Notes and will instead be deemed to be replaced with Section‎ 17.08 of this Supplemental Indenture;</w:t>
      </w:r>
    </w:p>
    <w:p>
      <w:pPr>
        <w:spacing w:after="0" w:line="161"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16.10 and Section 16.12 of the Base Indenture will not apply to the Notes and will instead be deemed to be replaced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 17.11 of this Supplemental Indenture;</w:t>
      </w:r>
    </w:p>
    <w:p>
      <w:pPr>
        <w:spacing w:after="0" w:line="207" w:lineRule="exact"/>
        <w:rPr>
          <w:sz w:val="20"/>
          <w:szCs w:val="20"/>
          <w:color w:val="auto"/>
        </w:rPr>
      </w:pPr>
    </w:p>
    <w:p>
      <w:pPr>
        <w:ind w:left="660" w:firstLine="972"/>
        <w:spacing w:after="0" w:line="282" w:lineRule="auto"/>
        <w:rPr>
          <w:sz w:val="20"/>
          <w:szCs w:val="20"/>
          <w:color w:val="auto"/>
        </w:rPr>
      </w:pPr>
      <w:r>
        <w:rPr>
          <w:rFonts w:ascii="Times New Roman" w:cs="Times New Roman" w:eastAsia="Times New Roman" w:hAnsi="Times New Roman"/>
          <w:sz w:val="18"/>
          <w:szCs w:val="18"/>
          <w:color w:val="auto"/>
        </w:rPr>
        <w:t>(xl) Section 16.11 of the Base Indenture will not apply to the Notes and will instead be deemed to be replaced with ‎Section 17.04 and ‎Section 17.13 of this Supplemental Indenture; and</w:t>
      </w:r>
    </w:p>
    <w:p>
      <w:pPr>
        <w:spacing w:after="0" w:line="162" w:lineRule="exact"/>
        <w:rPr>
          <w:sz w:val="20"/>
          <w:szCs w:val="20"/>
          <w:color w:val="auto"/>
        </w:rPr>
      </w:pPr>
    </w:p>
    <w:p>
      <w:pPr>
        <w:ind w:left="660" w:firstLine="972"/>
        <w:spacing w:after="0" w:line="282" w:lineRule="auto"/>
        <w:rPr>
          <w:sz w:val="20"/>
          <w:szCs w:val="20"/>
          <w:color w:val="auto"/>
        </w:rPr>
      </w:pPr>
      <w:r>
        <w:rPr>
          <w:rFonts w:ascii="Times New Roman" w:cs="Times New Roman" w:eastAsia="Times New Roman" w:hAnsi="Times New Roman"/>
          <w:sz w:val="18"/>
          <w:szCs w:val="18"/>
          <w:color w:val="auto"/>
        </w:rPr>
        <w:t>(xli) Section 16.13 of the Base Indenture will not apply to the Notes and will instead be deemed to be replaced with Section‎ 17.16 of this Supplemental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reference in the Base Indenture to any Articles or Sections (or part of any Articles or Sections) of the Base Indenture referred to in the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preceding clauses of this Section‎ 1.04(b) will, for purposes of the Notes, be deemed instead to be a reference to the respective Articles and Sections (or corresponding part of the respective Articles or Sections) of this Supplemental Indenture referred to in the preceding clauses of this ‎Section 1.04(b).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“4.00% Convertible Senior Notes due 2031.” The aggregate principal amount of Notes that may be authenticated and delivered under this Supplemental Indenture is initially limited to $184,000,000, subject to ‎Section 2.10 and except for Notes authenticated and delivered upon registration or transfer of, or in exchange for, or in lieu of other Notes to the extent expressly permitted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the Indenture. To the extent applicable, the Company and the Trustee, by their execution and delivery of this Supplemental Indenture, expressly agree to such terms and provisions and to be bound thereby. In the case of any conflict between the Indenture and a Note, the provisions of the Indenture shall govern and control to the extent of such conflict.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the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the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the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Payments of Interest and Defaulted Amounts.</w:t>
      </w:r>
      <w:r>
        <w:rPr>
          <w:rFonts w:ascii="Times New Roman" w:cs="Times New Roman" w:eastAsia="Times New Roman" w:hAnsi="Times New Roman"/>
          <w:sz w:val="18"/>
          <w:szCs w:val="18"/>
          <w:color w:val="auto"/>
        </w:rPr>
        <w:t xml:space="preserve"> (a) The Notes shall be issuable in registered form without coupons in minimum denominations of $1,000 principal amount and in integral multiples of $1,000 in excess thereof (an “</w:t>
      </w:r>
      <w:r>
        <w:rPr>
          <w:rFonts w:ascii="Times New Roman" w:cs="Times New Roman" w:eastAsia="Times New Roman" w:hAnsi="Times New Roman"/>
          <w:sz w:val="18"/>
          <w:szCs w:val="18"/>
          <w:b w:val="1"/>
          <w:b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Denomination</w:t>
      </w:r>
      <w:r>
        <w:rPr>
          <w:rFonts w:ascii="Times New Roman" w:cs="Times New Roman" w:eastAsia="Times New Roman" w:hAnsi="Times New Roman"/>
          <w:sz w:val="18"/>
          <w:szCs w:val="18"/>
          <w:color w:val="auto"/>
        </w:rPr>
        <w:t>”). The Notes shall be payable only in U.S. Dollars. Each Note shall be dated the date of its authentication and shall bear interest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both"/>
        <w:ind w:firstLine="656"/>
        <w:spacing w:after="0" w:line="253" w:lineRule="auto"/>
        <w:tabs>
          <w:tab w:leader="none" w:pos="9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75" w:lineRule="exact"/>
        <w:rPr>
          <w:rFonts w:ascii="Times New Roman" w:cs="Times New Roman" w:eastAsia="Times New Roman" w:hAnsi="Times New Roman"/>
          <w:sz w:val="18"/>
          <w:szCs w:val="18"/>
          <w:color w:val="auto"/>
        </w:rPr>
      </w:pPr>
    </w:p>
    <w:p>
      <w:pPr>
        <w:jc w:val="both"/>
        <w:ind w:left="660" w:firstLine="968"/>
        <w:spacing w:after="0" w:line="276" w:lineRule="auto"/>
        <w:tabs>
          <w:tab w:leader="none" w:pos="184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w:t>
      </w:r>
    </w:p>
    <w:p>
      <w:pPr>
        <w:jc w:val="both"/>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fixed in the manner set forth in the remainder of this Section‎ 2.03‎(c)‎(i).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w:t>
      </w:r>
    </w:p>
    <w:p>
      <w:pPr>
        <w:spacing w:after="0" w:line="1" w:lineRule="exact"/>
        <w:rPr>
          <w:rFonts w:ascii="Times New Roman" w:cs="Times New Roman" w:eastAsia="Times New Roman" w:hAnsi="Times New Roman"/>
          <w:sz w:val="17"/>
          <w:szCs w:val="17"/>
          <w:color w:val="auto"/>
        </w:rPr>
      </w:pPr>
    </w:p>
    <w:p>
      <w:pPr>
        <w:jc w:val="both"/>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Persons entitled to such Defaulted Amounts pursuant to this Section‎ 2.03‎(c)‎(i).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and the Company, or the Trustee at the request of and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w:t>
      </w:r>
    </w:p>
    <w:p>
      <w:pPr>
        <w:spacing w:after="0" w:line="3"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following clause (ii)‎ of this Section‎ 2.03‎(c).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both"/>
        <w:ind w:left="660" w:firstLine="968"/>
        <w:spacing w:after="0" w:line="261" w:lineRule="auto"/>
        <w:tabs>
          <w:tab w:leader="none" w:pos="18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in such manner of payment as it may be deemed practicable by the Trustee.</w:t>
      </w:r>
    </w:p>
    <w:p>
      <w:pPr>
        <w:spacing w:after="0" w:line="179"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6.01(a) shall be paid to Holders as of the record date for the Interest Payment Date for which interest has not been paid.</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other electronic signature of at least one Officer of the Company.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Supplemental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receive an Officer’s Certificate and an Opinion of Counsel of the Company with respect to the issuance, authentication and delivery of such Notes.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the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the Indenture.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Supplemental Indenture any such person was not such an Officer.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Depositary.</w:t>
      </w:r>
      <w:r>
        <w:rPr>
          <w:rFonts w:ascii="Times New Roman" w:cs="Times New Roman" w:eastAsia="Times New Roman" w:hAnsi="Times New Roman"/>
          <w:sz w:val="18"/>
          <w:szCs w:val="18"/>
          <w:color w:val="auto"/>
        </w:rPr>
        <w:t xml:space="preserve"> (a) The Company shall cause to be kept at the Corporate Trust Office 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or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w:t>
      </w:r>
    </w:p>
    <w:p>
      <w:pPr>
        <w:jc w:val="both"/>
        <w:spacing w:after="0" w:line="260" w:lineRule="auto"/>
        <w:rPr>
          <w:sz w:val="20"/>
          <w:szCs w:val="20"/>
          <w:color w:val="auto"/>
        </w:rPr>
      </w:pPr>
      <w:r>
        <w:rPr>
          <w:rFonts w:ascii="Times New Roman" w:cs="Times New Roman" w:eastAsia="Times New Roman" w:hAnsi="Times New Roman"/>
          <w:sz w:val="18"/>
          <w:szCs w:val="18"/>
          <w:color w:val="auto"/>
        </w:rPr>
        <w:t>portion of any Note, surrendered for repurchase (and not withdrawn) in accordance with Article‎ 15 or (iii) any Notes selected for Optional Redemption in accordance with ‎Article 16, except the unredeemed portion of any Note being redeemed in part.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the Indenture shall be the valid obligations of the Company, evidencing the same debt, and entitled to the same benefits under the Indenture as the Notes surrendered upon such registration of transfer or exchange.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 between or among Depositary participants or beneficial owners of interest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 the Trustee, Paying Agent, Conversion Agent or any agent of them shall have any responsibility or liability for any actions taken or not taken by the Depositary.</w:t>
      </w:r>
    </w:p>
    <w:p>
      <w:pPr>
        <w:spacing w:after="0" w:line="162" w:lineRule="exact"/>
        <w:rPr>
          <w:sz w:val="20"/>
          <w:szCs w:val="20"/>
          <w:color w:val="auto"/>
        </w:rPr>
      </w:pPr>
    </w:p>
    <w:p>
      <w:pPr>
        <w:ind w:left="940" w:hanging="284"/>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the Indenture and the procedures of the Depositary therefor.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the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interests in the Global Notes to the Trustee such interests in the Global Notes shall be canceled.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Paying Agent, the Trustee or any agent of the Company, the Paying Agent or the Trustee shall have any responsibility or liability for any act or omission of the Depositary or for the payment of amounts to owners of beneficial interest in a Global Note or any aspect of the records relating to or payments made on account of beneficial ownership interests of a Global Note or maintaining, supervising or reviewing any records relating to such beneficial ownership interests.</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in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the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in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the Indenture as Physical Notes authenticated and delivered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Optional Redemption, registration of transfer or exchange or conversion, if surrendered to the Company or any of the Company’s agents, Subsidiaries or Affiliates, to be surrendered to the Trustee for cancellation. Concurrently with surrendering such Notes to the Trustee, the Company shall deliver a cancellation order to the Trustee. All Notes delivered to the Trustee in accordance with this ‎Section 2.08 shall be canceled promptly by it in accordance with its customary procedures upon receipt of a written cancellation order from the Company. Except for any Notes surrendered for registration of transfer or exchange, or as otherwise expressly permitted by any of the provisions of the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Company and/or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 as they appear on any Notes, notice or elsewhere and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the Holders and notwithstanding Section‎ 2.01, reopen this Supplemental Indenture and issue additional Notes hereunder with the same terms as the Notes initially issued hereunder (other than differences in the issue date, the issue price and interest accrued prior to the issue date of such additional Notes and, if applicable, the initial Interest Payment Date of such additional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purposes, such additional Notes shall have a separate CUSIP number. Prior to the issuance of any such additional Notes, the Company shall deliver to the Trustee a Company Order, an Officer’s Certificate and an Opinion of Counsel which such Opinion of Counsel shall state that such Notes,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in each case, without prior notice to the Holders. The Company may, at its option and to the extent permitted by law, reissue, resell or surrender to the Trustee for cancellation, in accordance</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with Section‎ 2.08, any Notes that the Company or its Subsidiaries may purchase (other than as set forth in Section 2.08, which Notes described therein must be surrendered to the Trustee for cancellation), in the case of reissuance or resale, so long as such Notes do not constitute “restricted securities” within the meaning of Rule 144(a)(3) under the Securities Act upon any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purposes, such Notes shall have a separate CUSIP number. Any Notes that the Company or its Subsidiaries may repurchase (other than Notes described in Section 2.08 that must be surrendered to the Trustee for cancellation) will be considered outstanding under the Indenture (subject to ‎Section 8.04) unless and until such time the Company or such Subsidiary surrenders such Notes to the Trustee for cancellation, and the Trustee, upon receipt of a cancellation order, shall cancel all Notes so surrendered.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Satisfaction and Discharge.</w:t>
      </w:r>
      <w:r>
        <w:rPr>
          <w:rFonts w:ascii="Times New Roman" w:cs="Times New Roman" w:eastAsia="Times New Roman" w:hAnsi="Times New Roman"/>
          <w:sz w:val="18"/>
          <w:szCs w:val="18"/>
          <w:color w:val="auto"/>
        </w:rPr>
        <w:t xml:space="preserve"> The Indenture shall upon request of the Company contained in an Officer’s Certificate cease to be of further effect as to all Notes issued under the Indenture, and the Trustee, at the expense of the Company, shall execute such instruments reasonably requested by the Company acknowledging satisfaction and discharge of the Company’s obligations with respect to the Notes under the Indenture, when (a)</w:t>
      </w:r>
    </w:p>
    <w:p>
      <w:pPr>
        <w:spacing w:after="0" w:line="1" w:lineRule="exact"/>
        <w:rPr>
          <w:sz w:val="20"/>
          <w:szCs w:val="20"/>
          <w:color w:val="auto"/>
        </w:rPr>
      </w:pPr>
    </w:p>
    <w:p>
      <w:pPr>
        <w:ind w:left="240" w:hanging="232"/>
        <w:spacing w:after="0"/>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theretofore authenticated and delivered (other than Notes which have been destroyed, lost or stolen and which have been replaced, paid or</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as provided in Section‎ 2.06) have been delivered to the Trustee for cancellation; or (ii) the Company has deposited with the Trustee or, in the case of shares of Common Stock, the Company has delivered to Holders, as applicable, after the Notes have become due and payable, whether on the Maturity Date, any Redemption Date, any Fundamental Change Repurchase Date, upon conversion or otherwise, cash (or cash, shares of Common Stock (or other Reference Property) or a combination thereof, as applicable, solely to satisfy the Company’s Conversion Obligation) sufficient to pay all of the outstanding Notes and all other sums due and payable under the Indenture by the Company; and (b) the Company has delivered to the Trustee an Officer’s Certificate and an Opinion of Counsel, each stating that all conditions precedent herein provided for relating to the satisfaction and discharge of the Indenture have been complied with. Notwithstanding the satisfaction and discharge of the Company’s obligations with respect to the Notes under the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the obligations of the Company to the Trustee under Article‎ 7 shall survive in accordance with the terms thereof.</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Maintenance of Office or Agency.</w:t>
      </w:r>
      <w:r>
        <w:rPr>
          <w:rFonts w:ascii="Times New Roman" w:cs="Times New Roman" w:eastAsia="Times New Roman" w:hAnsi="Times New Roman"/>
          <w:sz w:val="18"/>
          <w:szCs w:val="18"/>
          <w:color w:val="auto"/>
        </w:rPr>
        <w:t xml:space="preserve"> The Company will maintain in the continental United States, an office or 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xml:space="preserve">”) and where notices and demands to or upon the Company in respect of the Notes and the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not be deemed an agent of the Company for service of legal process.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continental United States, where Notes may be surrendered for registration of transfer or exchange or for presentation for payment or repurchase or for conversion and where notices and demands in respect of the Notes and the Indenture may be served.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ind w:firstLine="648"/>
        <w:spacing w:after="0" w:line="284"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75" w:lineRule="exact"/>
        <w:rPr>
          <w:sz w:val="20"/>
          <w:szCs w:val="20"/>
          <w:color w:val="auto"/>
        </w:rPr>
      </w:pPr>
    </w:p>
    <w:p>
      <w:pPr>
        <w:jc w:val="both"/>
        <w:ind w:left="660" w:firstLine="644"/>
        <w:spacing w:after="0" w:line="266" w:lineRule="auto"/>
        <w:tabs>
          <w:tab w:leader="none" w:pos="15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2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in immediately available U.S. Dollars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jc w:val="both"/>
        <w:ind w:firstLine="656"/>
        <w:spacing w:after="0" w:line="256"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4" w:name="page75"/>
    <w:bookmarkEnd w:id="74"/>
    <w:p>
      <w:pPr>
        <w:jc w:val="both"/>
        <w:ind w:firstLine="656"/>
        <w:spacing w:after="0" w:line="261" w:lineRule="auto"/>
        <w:tabs>
          <w:tab w:leader="none" w:pos="8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its obligations with respect to the Notes under the Indenture, or for any other reason, pay, cause to be paid or deliver to the Trustee all sums or</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6.01(h) or (i),‎ the Trustee shall automatically be designated as the Paying Agent for the Notes if the Trustee is not acting in such capacity at such time.</w:t>
      </w:r>
    </w:p>
    <w:p>
      <w:pPr>
        <w:spacing w:after="0" w:line="16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Annual Reports.</w:t>
      </w:r>
    </w:p>
    <w:p>
      <w:pPr>
        <w:spacing w:after="0" w:line="227" w:lineRule="exact"/>
        <w:rPr>
          <w:sz w:val="20"/>
          <w:szCs w:val="20"/>
          <w:color w:val="auto"/>
        </w:rPr>
      </w:pPr>
    </w:p>
    <w:p>
      <w:pPr>
        <w:jc w:val="both"/>
        <w:ind w:firstLine="656"/>
        <w:spacing w:after="0" w:line="254" w:lineRule="auto"/>
        <w:tabs>
          <w:tab w:leader="none" w:pos="8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15 days after the same are required to be filed with the Commission (after giving effect to any grace period provided by Rule 12b-25 under the Exchange Act), copies of any documents or reports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Any such document or report that the Company files with the Commission via the Commission’s EDGAR system shall be deemed to be delivered to the Trustee for purposes of this</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4.06(a) at the time such document or report is filed via the EDGAR system, it being understood the Trustee shall not be responsible for determining whether such filings have been made. The filing or deemed filing of any such document with the Trustee shall cure any Default or Event of Default with respect to such document under this Section. The Company shall also comply with the other obligations of the Company under Section 314(a)(1) of the Trust Indenture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both"/>
        <w:ind w:firstLine="656"/>
        <w:spacing w:after="0" w:line="261" w:lineRule="auto"/>
        <w:tabs>
          <w:tab w:leader="none" w:pos="9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and documents described in subsection (a)‎ above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Officer’s Certificates). The Trustee shall have no liability or responsibility for the filing, timeliness or content of any such report or document.</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the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r>
        <w:rPr>
          <w:rFonts w:ascii="Times New Roman" w:cs="Times New Roman" w:eastAsia="Times New Roman" w:hAnsi="Times New Roman"/>
          <w:sz w:val="18"/>
          <w:szCs w:val="18"/>
          <w:color w:val="auto"/>
        </w:rPr>
        <w:t xml:space="preserve"> The Company shall deliver to the Trustee at its Corporate Trust Office, within 120 days after the end of each fiscal year of the Company (beginning with the fiscal year ending on December 31, 2026) an Officer’s Certificate stating whether the signers thereof have knowledge of any Event of Default or Default that occurred during the previous year and, if so, specifying each such Event of Default or Default and the nature thereof.</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at its Corporate Trust Office,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not be required to deliver such Officer’s Certificate if such Event of Default has been cured prior to the date such Officer’s Certificate is due.</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the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Lists of Holders.</w:t>
      </w:r>
      <w:r>
        <w:rPr>
          <w:rFonts w:ascii="Times New Roman" w:cs="Times New Roman" w:eastAsia="Times New Roman" w:hAnsi="Times New Roman"/>
          <w:sz w:val="18"/>
          <w:szCs w:val="18"/>
          <w:color w:val="auto"/>
        </w:rPr>
        <w:t xml:space="preserve"> The Company covenants and agrees that it will furnish or cause to be furnished to the Trustee, semi-annually, not more than 10 days after each April 1 and October 1 in each year beginning with October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 Communications With Holders.</w:t>
      </w:r>
    </w:p>
    <w:p>
      <w:pPr>
        <w:spacing w:after="0" w:line="227" w:lineRule="exact"/>
        <w:rPr>
          <w:sz w:val="20"/>
          <w:szCs w:val="20"/>
          <w:color w:val="auto"/>
        </w:rPr>
      </w:pPr>
    </w:p>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the most recent list furnished to it as provided in Section‎ 5.01 or maintained by the Trustee in its capacity as Note Registrar, if so acting.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may destroy any list furnished to it as provided in Section‎ 5.01 upon receipt of a new list so furnished.</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communicate as provided in Section 312(b) of the Trust Indenture Act with other Holders with respect to their rights under the Indenture or under the Notes, and, in connection with any such communications, the Trustee shall satisfy its obligations under Section 312(b) of the Trust Indenture Act in accordance with the provisions of Section 312(b) of the Trust Indenture Act. The Company, the Trustee, the Note Registrar and anyone else shall have the protection of Section 312(c) of the Trust Indenture Act with respect to such communications.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w:t>
      </w:r>
      <w:r>
        <w:rPr>
          <w:rFonts w:ascii="Times New Roman" w:cs="Times New Roman" w:eastAsia="Times New Roman" w:hAnsi="Times New Roman"/>
          <w:sz w:val="18"/>
          <w:szCs w:val="18"/>
          <w:i w:val="1"/>
          <w:iCs w:val="1"/>
          <w:color w:val="auto"/>
        </w:rPr>
        <w:t>. Reports by the Trustee.</w:t>
      </w:r>
    </w:p>
    <w:p>
      <w:pPr>
        <w:spacing w:after="0" w:line="227" w:lineRule="exact"/>
        <w:rPr>
          <w:sz w:val="20"/>
          <w:szCs w:val="20"/>
          <w:color w:val="auto"/>
        </w:rPr>
      </w:pPr>
    </w:p>
    <w:p>
      <w:pPr>
        <w:jc w:val="both"/>
        <w:ind w:firstLine="656"/>
        <w:spacing w:after="0" w:line="266" w:lineRule="auto"/>
        <w:tabs>
          <w:tab w:leader="none" w:pos="8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April 15, commencing the calendar year after the year in which the first Notes are issued hereunder, shall transmit by mail, first class postage prepaid, to the Holders, as their names and addresses appear upon the Note Register, a brief report dated as of such April 15,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the Company, with each securities exchange upon which any Notes are listed (if so listed) and also with the Commission. The Company agrees to notify the Trustee in writing when any Notes become listed on any securities exchange or of any delisting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5540" w:right="1720" w:hanging="4884"/>
        <w:spacing w:after="0" w:line="657" w:lineRule="auto"/>
        <w:tabs>
          <w:tab w:leader="none" w:pos="9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7" w:name="page78"/>
    <w:bookmarkEnd w:id="77"/>
    <w:p>
      <w:pPr>
        <w:ind w:right="20" w:firstLine="656"/>
        <w:spacing w:after="0" w:line="282"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Holder’s conversion right and such failure continues for a period of five Business Days;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(i) a Fundamental Change Company Notice in accordance with Section‎ 15.02(c), (ii) notice of a specified</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 in accordance with Section‎ 14.01(b)(ii) or (iii) notice of a specified corporate transaction in accordance with Section‎ 14.01(b)(iii), in each case when due and such failure continues for a period of three Business Days;</w:t>
      </w:r>
    </w:p>
    <w:p>
      <w:pPr>
        <w:spacing w:after="0" w:line="18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the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any Significant Subsidiary of the Company or any group of Subsidiaries of the Company that, taken together, would constitute a Significant Subsidiary of the Company, with respect to any mortgage, agreement or other instrument under which there may be outstanding, or by which there may be secured or evidenced, any indebtedness for money borrowed in excess of $20,000,000 (or its foreign currency equivalent) in the aggregate of the Company, any such Significant Subsidiary and/or any such group of Subsidiaries, whether such indebtedness now exists or shall hereafter be created (i) resulting in such indebtedness becoming or being declared due and payable or (ii) constituting a failure to pay the principal or interest of any such indebtedness when due and payable (after the expiration of all applicable grace periods) at its stated maturity, upon required repurchase, upon declaration of acceleration or otherwise, and such acceleration shall not have been rescinded or annulled or such failure to pay shall not have been cured, as the case may be, within 30 days after written notice to the Company by the Trustee or to the Company and the Trustee by Holders of at least 25% in principal amount of the Notes then outstanding has been received;</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Significant Subsidiary of the Company or any group of Subsidiaries of the Company that, taken together, would constitute a Significant Subsidiary of the Company shall commence a voluntary case or other proceeding seeking liquidation, reorganization or other relief with respect to the Company, such Significant Subsidiary or such group of Subsidiaries or debts of such Person or group under any bankruptcy, insolvency or other similar law now or hereafter in effect or seeking the appointment of a trustee, receiver, liquidator, custodian or other similar official of the Company, such Significant Subsidiary or such group of Subsidiaries or any substantial part of such Person’s or group’s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both"/>
        <w:ind w:firstLine="656"/>
        <w:spacing w:after="0" w:line="256" w:lineRule="auto"/>
        <w:tabs>
          <w:tab w:leader="none" w:pos="8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any Significant Subsidiary of the Company or any group of Subsidiaries of the Company that, taken together, would constitute a Significant Subsidiary of the Company, seeking liquidation, reorganization or other relief with respect to such Person or group or such Person’s or group’s debts under any bankruptcy, insolvency or other similar law now or hereafter in effect or seeking the appointment of a trustee, receiver, liquidator, custodian or other similar official of the Company, such Significant Subsidiary or such group of Subsidiaries or any substantial part of such Person’s or group’s property, and such involuntary case or other proceeding shall remain undismissed and unstayed for a period of 60 consecutive days.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the Indenture or in the Notes to the contrary notwithstanding. If an Event of Default specified in ‎Section 6.01(h) or ‎Section 6.01(i) with respect to the Company (and not involving solely one or more of the Company’s Significant Subsidiaries) occurs and is continuing, 100% of the principal of, and accrued and unpaid interest, if any, on, all Notes shall become and shall automatically be immediately due and payable.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and amounts due to the Trustee pursuant to Section‎ 7.06, and if (1) rescission would not conflict with any judgment or decree of a court of competent jurisdiction and (2) any and all existing Events of Default,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the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and/or deliver, as the case may be, the consideration due upon conversion of the Notes.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For the avoidance of doubt, any failure by the Company to provide any notice under the Indenture other than as set forth in Section‎ 6.01(d) shall</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 subject to Section‎ 6.01(f) (including the 60 day cure period contained therein), and any related Default or Event of Default shall be deemed cured upon delivery of such notice to the applicable recipient prior to (i) the expiration of such 60 day period provided in ‎Section 6.01(f) or (ii) if later, the delivery of a notice of acceleration with respect to such Default or Event of Default, in each case whether or not the events or circumstances that are the subject of such notice have already occurred at the time such notice is given.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Notwithstanding anything in the Indenture or in the Notes to the contrary, to the extent the Company elects, the</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sole remedy for an Event of Default relating to the Company’s failure to comply with its obligations as set forth in Section‎ 4.06(a) (including the Company’s obligations under Section 314(a)(1) of the Trust Indenture Act) shall, after the occurrence of such an Event of Default, consist exclusively of the right to receive Additional Interest on the Notes at a rate equal to: (a) 0.25% per annum of the principal amount of the Notes outstanding for each day during the period beginning on, and including, the date on which such Event of Default first occurs and ending on the earlier of (x) the date on which such Event of Default is cured or validly waived in accordance with this ‎Article 6 and (y) the 180th day immediately following, and including, the date on which such Event of Default first occurs and (b) if such Event of Default has not been cured or validly waived prior to the 181st day immediately following, and including, the date on which such Event of Default first occurs, 0.50% per annum of the principal amount of Notes outstanding for each day during the period beginning on, and including, the 181st day immediately following, and including, the date on which such Event of Default first occurs and ending</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earlier of (x) the date on which the Event of Default is cured or validly waived in accordance with this Article‎ 6 and (y) the 360th day immediately following, and including, the date on which such event of default first occurs. If the Company so elects, such Additional Interest shall be payable in the same manner and on the same dates as the stated interest payable on the Notes and shall accrue on all outstanding Notes from, and including, the date on which the Event of Default relating to the Company’s failure to comply with its obligations as set forth in ‎Section 4.06(a) first occurs to, but not including, the 361st day thereafter (or such earlier date on which such Event of Default is cured or waived by the Holders of a majority in aggregate principal amount of the Notes then outstanding). On the 361st day after such Event of Default (if the Event of Default relating to the Company’s failure to file is not cured or</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waived prior to such 361st day), the Notes shall be immediately subject to acceleration as provided in Section‎ 6.02. The provisions of this paragraph will not affect the rights of Holders of Notes in the event of the occurrence of any Event of Default other than the Company’s failure to comply with its obligations as set forth in ‎Section 4.06(a). In the event the Company does not elect to pay Additional Interest following an Event of Default in accordance</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with this Section‎ 6.03 or the Company elected to make such payment but does not pay the Additional Interest when due, the Notes shall be immediately subject to acceleration as provided in ‎Section 6.02.</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elect to pay Additional Interest as the sole remedy during the first 360 days after the occurrence of any Event of Default described in the immediately preceding paragraph, the Company must notify all Holders, the Trustee and the Paying Agent in writing of such election prior to the beginning of such 360-day period. Upon the failure to timely give such notice, the Notes shall be immediately subject to acceleration as provided in Section‎ 6.02.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For the avoidance of doubt, if (x) the Company timely elects to pay Additional Interest pursuant to this Section‎ 6.03 as the sole remedy during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first 360 days after the occurrence of an Event of Default relating to the Company’s failure to comply with its obligations as set forth in Section‎ 4.06(a) in accordance with the two immediately preceding paragraphs, (y) the Company pays such Additional Interest in accordance with this ‎Section 6.03 and the Indenture and (z) the Company files the delinquent reports that were required to be filed and that gave rise to the relevant Event of Default (in each case in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clause (z) pursuant to the provisions described in Section‎ 4.06(a)) prior to the 361st day after the occurrence of such Event of Default (or prior to the delivery of any related notice of acceleration on or after such 361st day), then such Event of Default shall be deemed cured and the Notes shall not be subject to acceleration as a result of the initial failure to comply with the Company’s obligations as set forth in ‎Section 4.06(a).</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at any time be under any duty or responsibility to any Holder to determine Additional Interest, or with respect to the nature, extent or calculation of the amount of Additional Interest owed, or with respect to the method employed in such calculation of Additional Interest.</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reasonable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the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the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the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all its capacities 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the Indenture to institute any suit, action or proceeding in equity or at law upon or under or with respect to the Indenture, or for the appointment of a receiver, trustee, liquidator, custodian or other similar official, or for any other remedy hereunder, unless:</w:t>
      </w:r>
    </w:p>
    <w:p>
      <w:pPr>
        <w:spacing w:after="0" w:line="185" w:lineRule="exact"/>
        <w:rPr>
          <w:sz w:val="20"/>
          <w:szCs w:val="20"/>
          <w:color w:val="auto"/>
        </w:rPr>
      </w:pPr>
    </w:p>
    <w:p>
      <w:pPr>
        <w:ind w:left="900" w:hanging="24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 provided;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or indemnity satisfactory to the Trustee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receipt of the request and the offer of such security or indemnity;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that, in the opinion of the Trustee, is inconsistent with such written request shall have been given to the Trustee by the Holders of a</w:t>
      </w:r>
    </w:p>
    <w:p>
      <w:pPr>
        <w:spacing w:after="0" w:line="38"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the Indenture to affect, disturb or prejudice the rights of any other Holder, or to obtain or seek to obtain priority over or preference to any other such Holder, or to enforce any right under the Indenture, except in the manner herein provided and for the equal, ratable and common benefit of all Holders (except as otherwise provided herein) (it being understood that the Trustee shall have no obligation to determine whether any such action or inaction would unduly prejudice the rights of another Holder). For the protection</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enforcement of this Section‎ 6.06, each and every Holder and the Trustee shall be entitled to such relief as can be given either at law or in equity.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the Indenture.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the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the Indenture or in aid of the exercise of any power granted in the Indenture, or to enforce any other legal or equitable right vested in the Trustee by the Indenture or by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the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such direction shall not be in conflict with any rule of law or with the Indenture and (b) the Trustee may take any other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proper by the Trustee that is not inconsistent with such direction. The Trustee may refuse to follow any direction that it determines is unduly prejudicial to the rights of any other Holder or that would involve the Trustee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affirmative duty to determine whether any direction is prejudicial to any other Holder. The Holders of a majority in aggregate principal amount of the Notes at the time</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outstanding determined in accordance with Section‎ 8.04 may on behalf of the Holders of all of the Notes waive any past Default or Event of Default hereunder and its consequences except (i) a default in the payment of accrued and unpaid interest, if any, on, or the principal (including the Redemption Price and the Fundamental Change Repurchase Price, if any) of, the Notes when due that has not been cured pursuant to the provisions of ‎Section 6.01, (ii) a failure by the Company to repurchase any Notes when required or to pay and/or deliver, as the case may be, the consideration due upon conversion of the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the Indenture be deemed to have been cured and to be not continuing; but no such waiver shall extend to any subsequent or other Default or Event of Default or impair any right consequent thereon.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5" w:name="page86"/>
    <w:bookmarkEnd w:id="8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a Responsible Officer of the Trustee has received written notice or has actual knowledge of the occurrence and continuance of a Default, deliver to all Holders notice of all such Defaults,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the Trustee in good faith determines that the withholding of such notice is in the interests of the Holders.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the Indenture agree, and each Holder of any Note by its acceptance thereof shall be deemed to have agreed, that any court may, in its discretion, require, in any suit for the enforcement of any right or remedy under the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6.11 (to the extent permitted by law) shall not apply to any suit instituted by the Trustee, to any suit instituted by any Holder, or group of Holders, holding in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the Indenture. In the event an Event of Default has occurred and is continuing, and is actually known to the Trustee, the Trustee shall exercise such of the rights and powers vested in it by the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will be under no obligation to exercise any of the rights or powers under the Indenture at the request or direction of any of the Holders unless such Holders have offered and, if requested, provided, to the Trustee indemnity or security satisfactory to the Trustee against any loss, liability or expense that might be incurred by it in compliance with such request or direction.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6" w:name="page87"/>
    <w:bookmarkEnd w:id="86"/>
    <w:p>
      <w:pPr>
        <w:ind w:firstLine="648"/>
        <w:spacing w:after="0" w:line="282" w:lineRule="auto"/>
        <w:rPr>
          <w:sz w:val="20"/>
          <w:szCs w:val="20"/>
          <w:color w:val="auto"/>
        </w:rPr>
      </w:pPr>
      <w:r>
        <w:rPr>
          <w:rFonts w:ascii="Times New Roman" w:cs="Times New Roman" w:eastAsia="Times New Roman" w:hAnsi="Times New Roman"/>
          <w:sz w:val="18"/>
          <w:szCs w:val="18"/>
          <w:color w:val="auto"/>
        </w:rPr>
        <w:t>No provision of the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900" w:hanging="244"/>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the Indenture, and the Trustee shall not be liable except for the performance of such duties and obligations as are specifically set forth in the Indenture and no implied covenants or obligations shall be read into the Indenture against the Trustee;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or willful misconduct on the part of the Trustee, the Trustee may conclusively rely, as to the truth of the statements and the correctness of the opinions expressed therein, upon any certificates or opinions furnished to the Trustee and conforming to the requirements of the Indenture; but, in the case of any such certificates or opinions that by any provisions hereof are specifically required to be furnished to the Trustee, the Trustee shall be under a duty to examine the same to determine whether or not they conform to the requirements of the Indenture (but need not confirm or investigate the accuracy of any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the rights or powers conferred upon it by the Indenture;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the Indenture;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ind w:left="900" w:hanging="244"/>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the Indenture relating to the conduct or affecting the liability of, or affording protection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subject to the provisions of this Section and Section‎ 7.02;</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the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received by the Trustee shall be held in cash and the Trustee shall have no obligation to invest any amounts held hereunder; and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hereunder, the rights and protections afforded to the Trustee pursuant to this Article‎ 7 shall also be afforded to such Custodian, Note Registrar, Paying Agent, Conversion Agent, Bid Solicitation Agent or transfer agent.</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provisions contained in the Indenture shall require the Trustee to expend or risk its own funds or otherwise incur personal financial liability in the performance of any of its duties or in the exercise of any of its rights or powers.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jc w:val="both"/>
        <w:ind w:firstLine="656"/>
        <w:spacing w:after="0" w:line="266" w:lineRule="auto"/>
        <w:tabs>
          <w:tab w:leader="none" w:pos="8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Agents may conclusively rely and shall be fully protected in acting or refraining from acting upon any resolution, certificate, statement, instrument, opinion, report, notice, request, direction, consent, judgment, order, bond, note, coupon, debenture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The Trustee will not be liable for any action it takes or omits to take in good faith reliance on such Officer’s Certificate;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require an Opinion of Counsel and any advice of such counsel or Opinion of Counsel shall be full and complete authorization and protection from liability in respect of any action taken or omitted by it hereunder in good faith and in accordance with such advice or Opinion of Counsel;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jc w:val="both"/>
        <w:ind w:firstLine="656"/>
        <w:spacing w:after="0" w:line="258" w:lineRule="auto"/>
        <w:tabs>
          <w:tab w:leader="none" w:pos="9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judgment, order, bond, note, coupon,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(including the Agents),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the Indenture (i.e., an incumbency certificate);</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monitoring the performance or actions of other Persons, including the Company;</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not obligated to follow any instruction of the Holders that is contrary to the Indenture, the Notes or applicable law;</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or an Agent enumerated herein shall not be construed as duties and, with respect to such permissive rights, neither the Trustee nor any Agent shall be answerable for anything other than its gross negligence or willful misconduct; and</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obligated to take possession of any Common Stock, whether upon conversion or in connection with any discharge of</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pursuant to Article‎ 3 hereof, but shall satisfy its obligation as Conversion Agent by working through the stock transfer agent of the Company from time to time as directed by the Company.</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incidental,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at its Corporate Trust Office by the Company or by any Holder, and such notice references the Notes and the Indenture and states that it is a notice of Default or Event of Default.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the Indenture or of the Notes. The Trustee shall not be accountable for the use or application by the Company of any Notes or the proceeds of any Notes authenticated and delivered by the Trustee in conformity with the provisions of this Supplemental Indenture.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 The rights, protections and indemnities afforded the Trustee hereunder shall apply to each agent of the Trustee acting hereunder.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to Be Held in Trust.</w:t>
      </w:r>
      <w:r>
        <w:rPr>
          <w:rFonts w:ascii="Times New Roman" w:cs="Times New Roman" w:eastAsia="Times New Roman" w:hAnsi="Times New Roman"/>
          <w:sz w:val="18"/>
          <w:szCs w:val="18"/>
          <w:color w:val="auto"/>
        </w:rPr>
        <w:t xml:space="preserve">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may be agreed from time to time by the Company and the Trustee.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the Indenture in any capacity thereunder (including the reasonable compensation and the reasonable expenses and disbursements of its agents and counsel and of all Persons not regularly in its employ and including those incurred with respect to enforcement of this Section) except any such expense, disbursement or advance as shall have been caused by its gross negligence or willful misconduct as determined by a final, non-appealable decision of a court of competent jurisdiction. The Company also covenants to indemnify the Trustee in any capacity under the Indenture and any other document or transaction entered into in connection herewith and its agents and any authenticating agent for, and to hold them harmless against, any loss, claim (whether asserted by the Company, any Holder or any other Person), damage, liability or expense incurred without gross negligence or willful misconduct on the part of the Trustee, its officers, directors, agents or employees, or such agent or authenticating agent, as the case may be, as determined by a final, non-appealable order of a court of competent jurisdiction, and arising out of or in connection with the acceptance or administration of the Indenture or in any other capacity hereunder, including the costs and expenses of defending themselves against any claim of liability. The obligations of the Company under this ‎Section 7.06 to compensate or indemnify the Trustee and to pay or reimburse the Trustee for expenses, disbursements and advances shall be secured by a senior lien and claim to which the Notes are hereby made subordinate on all money or property held or</w:t>
      </w:r>
    </w:p>
    <w:p>
      <w:pPr>
        <w:jc w:val="both"/>
        <w:spacing w:after="0" w:line="250" w:lineRule="auto"/>
        <w:rPr>
          <w:sz w:val="20"/>
          <w:szCs w:val="20"/>
          <w:color w:val="auto"/>
        </w:rPr>
      </w:pPr>
      <w:r>
        <w:rPr>
          <w:rFonts w:ascii="Times New Roman" w:cs="Times New Roman" w:eastAsia="Times New Roman" w:hAnsi="Times New Roman"/>
          <w:sz w:val="18"/>
          <w:szCs w:val="18"/>
          <w:color w:val="auto"/>
        </w:rPr>
        <w:t>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Company. The obligation of the Company under this Article‎ 7 shall survive the satisfaction and discharge of its obligations with respect to the Notes under the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0" w:name="page91"/>
    <w:bookmarkEnd w:id="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administrative expenses for the purposes of priority under any bankruptcy, insolvency or similar laws.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the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the Indenture upon the faith thereof.</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r>
        <w:rPr>
          <w:rFonts w:ascii="Times New Roman" w:cs="Times New Roman" w:eastAsia="Times New Roman" w:hAnsi="Times New Roman"/>
          <w:sz w:val="18"/>
          <w:szCs w:val="18"/>
          <w:color w:val="auto"/>
        </w:rPr>
        <w:t xml:space="preserve"> (a) The Trustee may at any time resign by giving 30 days’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Supplemental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90" w:lineRule="exact"/>
        <w:rPr>
          <w:sz w:val="20"/>
          <w:szCs w:val="20"/>
          <w:color w:val="auto"/>
        </w:rPr>
      </w:pPr>
    </w:p>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Supplemental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jc w:val="both"/>
        <w:ind w:firstLine="656"/>
        <w:spacing w:after="0" w:line="257"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upon 30 days’ written notice to the Trustee, remove the Trustee and nominate a successor trustee that shall be deemed appointed as successor trustee unless within ten days after notice to the Company of such nomination the Company objects thereto (and no Event of Default shall have occurred and be</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 which case the Trustee so removed or any Holder, upon the terms and conditions and otherwise as in Section‎ 7.09(a) provided, may petition any court of competent jurisdiction for an appointment of a successor trustee at the cost of the Company.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2" w:name="page93"/>
    <w:bookmarkEnd w:id="92"/>
    <w:p>
      <w:pPr>
        <w:ind w:left="920" w:hanging="264"/>
        <w:spacing w:after="0"/>
        <w:tabs>
          <w:tab w:leader="none" w:pos="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effective upon acceptance of appointment by the successor trustee as provided in Section‎ 7.10.</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and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the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corporation or other entity succeeding to all or substantially all of the corporate trust business of the Trustee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or other entity shall be eligible under the provisions of ‎Section 7.08.</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the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the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the Indenture) may, at the option of the Trustee, set forth in writing any action proposed to be taken or omitted by the Trustee under the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is deemed to be given pursuant to Section 17.03, unless any such officer shall have consented in writing to any earlier date), unless, prior to taking any such action (or the effective date in the case of any omission), the Trustee shall have received written instructions in accordance with the Indenture in response to such application specifying the action to be taken or omitted.</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i w:val="1"/>
          <w:iCs w:val="1"/>
          <w:color w:val="auto"/>
        </w:rPr>
        <w:t>Preferential Collection of Claims Against the Company.</w:t>
      </w:r>
      <w:r>
        <w:rPr>
          <w:rFonts w:ascii="Times New Roman" w:cs="Times New Roman" w:eastAsia="Times New Roman" w:hAnsi="Times New Roman"/>
          <w:sz w:val="18"/>
          <w:szCs w:val="18"/>
          <w:color w:val="auto"/>
        </w:rPr>
        <w:t xml:space="preserve">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8.01</w:t>
      </w:r>
      <w:r>
        <w:rPr>
          <w:rFonts w:ascii="Times New Roman" w:cs="Times New Roman" w:eastAsia="Times New Roman" w:hAnsi="Times New Roman"/>
          <w:sz w:val="18"/>
          <w:szCs w:val="18"/>
          <w:i w:val="1"/>
          <w:iCs w:val="1"/>
          <w:color w:val="auto"/>
        </w:rPr>
        <w:t>. Action by Holders.</w:t>
      </w:r>
      <w:r>
        <w:rPr>
          <w:rFonts w:ascii="Times New Roman" w:cs="Times New Roman" w:eastAsia="Times New Roman" w:hAnsi="Times New Roman"/>
          <w:sz w:val="18"/>
          <w:szCs w:val="18"/>
          <w:color w:val="auto"/>
        </w:rPr>
        <w:t xml:space="preserve"> Whenever in the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r>
        <w:rPr>
          <w:rFonts w:ascii="Times New Roman" w:cs="Times New Roman" w:eastAsia="Times New Roman" w:hAnsi="Times New Roman"/>
          <w:sz w:val="18"/>
          <w:szCs w:val="18"/>
          <w:color w:val="auto"/>
        </w:rPr>
        <w:t xml:space="preserve"> The Company, the Trustee, any authenticating agent, any Paying Agent, any Conversion Agent and any Note Registrar shall deem the Person in whose name a Note shall be registered upon the Note Register to be, and shall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the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the Indenture.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the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purposes of determining whether the Trustee shall be protected in relying on any such direction, consent, waiver or other action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that a Responsible Officer actually knows are so owned shall be so disregarded. Notes so owned that have been pledged in good faith may be</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8.01, of the taking of any action by the Holders of the percentage of the aggregate principal amount of the Notes specified in the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 ‎Article 9 for any of the following purposes:</w:t>
      </w:r>
    </w:p>
    <w:p>
      <w:pPr>
        <w:spacing w:after="0" w:line="160" w:lineRule="exact"/>
        <w:rPr>
          <w:sz w:val="20"/>
          <w:szCs w:val="20"/>
          <w:color w:val="auto"/>
        </w:rPr>
      </w:pPr>
    </w:p>
    <w:p>
      <w:pPr>
        <w:jc w:val="both"/>
        <w:ind w:right="20" w:firstLine="656"/>
        <w:spacing w:after="0" w:line="261" w:lineRule="auto"/>
        <w:tabs>
          <w:tab w:leader="none" w:pos="8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the Indenture, or to consent to the waiving of any Default or Event of Default hereunder (in each case, as permitted under the Indenture) and its consequences, or to take any other action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to be taken by Holders pursuant to any of the provisions of Article‎ 6;</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the Indenture or under applicable law.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w:t>
      </w:r>
      <w:r>
        <w:rPr>
          <w:rFonts w:ascii="Times New Roman" w:cs="Times New Roman" w:eastAsia="Times New Roman" w:hAnsi="Times New Roman"/>
          <w:sz w:val="18"/>
          <w:szCs w:val="18"/>
          <w:i w:val="1"/>
          <w:iCs w:val="1"/>
          <w:color w:val="auto"/>
        </w:rPr>
        <w:t>. Qualifications for Voting.</w:t>
      </w:r>
      <w:r>
        <w:rPr>
          <w:rFonts w:ascii="Times New Roman" w:cs="Times New Roman" w:eastAsia="Times New Roman" w:hAnsi="Times New Roman"/>
          <w:sz w:val="18"/>
          <w:szCs w:val="18"/>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the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7" w:name="page98"/>
    <w:bookmarkEnd w:id="9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her or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him, her or it or instruments in writing as aforesaid duly designating him, her or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the Indenture or of the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and Amendments Without Consent of Holders.</w:t>
      </w:r>
      <w:r>
        <w:rPr>
          <w:rFonts w:ascii="Times New Roman" w:cs="Times New Roman" w:eastAsia="Times New Roman" w:hAnsi="Times New Roman"/>
          <w:sz w:val="18"/>
          <w:szCs w:val="18"/>
          <w:color w:val="auto"/>
        </w:rPr>
        <w:t xml:space="preserve"> Notwithstanding anything to the contrary in Section‎ 10.02,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cure any ambiguity, omission, defect or inconsistency;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Entity of the obligations of the Company under the Indenture pursuant to Article‎ 11;</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Settlement Method and/or Specified Dollar Amount (or a minimum Specified Dollar Amount) or eliminate the Company’s right to elect a Settlement Method;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Section 14.02;</w:t>
      </w:r>
    </w:p>
    <w:p>
      <w:pPr>
        <w:spacing w:after="0" w:line="17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Notes are convertible into units of Reference Property, subject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Section‎ 14.02, and make such related changes to the terms of the Notes to the extent expressly required by Section‎ 14.07;</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the Indenture or the Notes to the “Description of Notes” section of the Prospectus Supplement;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pursuant to Section‎ 2.10;</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appointment, under the Indenture, of a successor Trustee;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Commission in connection with effecting or maintaining the qualification of the Indenture or any supplemental indenture under the Trust Indenture Act, as then in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and subject to Section‎ 10.05, the Trustee is hereby authorized to join with the Company in the execution of any such supplemental indenture or amendment, but the Trustee shall not be obligated to, but may in its discretion, enter into any supplemental indenture that affects the Trustee’s own rights, duties or immunities under the Indenture or otherwise.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or amendment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and Amendments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the Indenture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or amendment shall:</w:t>
      </w:r>
    </w:p>
    <w:p>
      <w:pPr>
        <w:spacing w:after="0" w:line="185" w:lineRule="exact"/>
        <w:rPr>
          <w:sz w:val="20"/>
          <w:szCs w:val="20"/>
          <w:color w:val="auto"/>
        </w:rPr>
      </w:pPr>
    </w:p>
    <w:p>
      <w:pPr>
        <w:ind w:left="900" w:hanging="244"/>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the Notes;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Indenture, 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or the Company’s right to redeem the Notes, whether through an amendment or waiver of provisions in the covenants, definitions or otherwise;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priority in right of payment of obligations under the Notes;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institute suit for the enforcement of any payment of principal (including the Redemption Price and the Fundamental Change Repurchase Price, if applicable) of, accrued and unpaid interest, if any, on, or the consideration due upon conversion of, its Notes, on or after the respective due dates expressed or provided for in the Indenture; or</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or amendment unless such supplemental indenture or amendment affects the Trustee’s own rights, duties or immunities under the Indenture or otherwise, in which case the Trustee may in its discretion, but shall not be obligated to, enter into such supplemental indenture or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or amendment. It shall be sufficient if such Holders approve the substance thereof. After any such supplemental indenture or amendment becomes effective, the Company shall give to the Holders (with a copy to the Trustee) a notice briefly describing such supplemental indenture or amendment. However, the failure to give such notice to all the Holders, or any defect in the notice, will not impair or affect the validity of the supplemental indenture or amendment.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 and Amendments.</w:t>
      </w:r>
      <w:r>
        <w:rPr>
          <w:rFonts w:ascii="Times New Roman" w:cs="Times New Roman" w:eastAsia="Times New Roman" w:hAnsi="Times New Roman"/>
          <w:sz w:val="18"/>
          <w:szCs w:val="18"/>
          <w:color w:val="auto"/>
        </w:rPr>
        <w:t xml:space="preserve"> Upon the execution of any supplemental indenture or amendment pursuant to the provisions of this ‎Article 10, the Indenture shall be and be deemed to be modified and amended in accordance therewith and the respective rights, limitation of rights, obligations, duties and immunities under the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the Indenture for any and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this Article‎ 10 may, at the Company’s expense, bear a notation in form reasonably acceptable to the Company and the Trustee as to any matter provided for in such supplemental indenture. If the Company or the Trustee shall so determine, new Notes so modified as to conform, in the opinion of the Board of Directors, to any modification of the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or Amendment to Be Furnished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or amendment that it is requested to execute pursuant hereto complies with the requirements of this ‎Article 10 and is permitted or authorized by the Indenture, and an Opinion of Counsel stating that such supplemental indenture or amendment is a valid and binding obligation of the Company, enforceable against the Company in accordance with its terms, subject to bankruptcy, insolvency, reorganization and other laws of general applicability relating to or affecting the enforcement of creditors’ rights and to general equity principles.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p>
    <w:p>
      <w:pPr>
        <w:spacing w:after="0" w:line="227" w:lineRule="exact"/>
        <w:rPr>
          <w:sz w:val="20"/>
          <w:szCs w:val="20"/>
          <w:color w:val="auto"/>
        </w:rPr>
      </w:pPr>
    </w:p>
    <w:p>
      <w:pPr>
        <w:jc w:val="both"/>
        <w:ind w:firstLine="656"/>
        <w:spacing w:after="0" w:line="266" w:lineRule="auto"/>
        <w:tabs>
          <w:tab w:leader="none" w:pos="8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11.02, the Company shall not consolidate with, merge with or into, or sell, convey, transfer or lease all or substantially all of its consolidated properties and assets, taken as a whole, to another Person (other than any such sale, conveyance, transfer or lease to one or more of its Wholly Owned Subsidiaries) (such consolidation, merger, sale, conveyance, transfer or lease,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resulting, surviving or transferee Person (if not the Company) shall be a Qualified Successor Entity organized and existing under the laws of the United States of America, any State thereof or the District of Columbia (such Qualified Successor Entity,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300" w:firstLine="328"/>
        <w:spacing w:after="0" w:line="282" w:lineRule="auto"/>
        <w:tabs>
          <w:tab w:leader="none" w:pos="192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shall expressly assume, by supplemental indenture all of the obligations of the Company under the Notes and the Indenture;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the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11.01(a),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Corporation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by supplemental indenture, executed and delivered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the Indenture to be performed by the Company, such Successor Entity shall succeed to and, except in the case of a lease of all or substantially all of the Company’s properties and assets, shall be substituted for the Company, with the same effect as if it had been named herein as the party of the first part.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the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the Indenture as the Notes theretofore or thereafter issued in accordance with the terms of the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Supplemental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the Indenture and the Notes.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2" w:name="page103"/>
    <w:bookmarkEnd w:id="10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Business Combination Event, such changes in phraseology and form (but not in substance) may be made in the Notes thereafter to be issued as may be appropriate.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11.03</w:t>
      </w:r>
      <w:r>
        <w:rPr>
          <w:rFonts w:ascii="Times New Roman" w:cs="Times New Roman" w:eastAsia="Times New Roman" w:hAnsi="Times New Roman"/>
          <w:sz w:val="18"/>
          <w:szCs w:val="18"/>
          <w:i w:val="1"/>
          <w:iCs w:val="1"/>
          <w:color w:val="auto"/>
        </w:rPr>
        <w:t>. Opinion Of Counsel to Be Given to Trustee.</w:t>
      </w:r>
      <w:r>
        <w:rPr>
          <w:rFonts w:ascii="Times New Roman" w:cs="Times New Roman" w:eastAsia="Times New Roman" w:hAnsi="Times New Roman"/>
          <w:sz w:val="18"/>
          <w:szCs w:val="18"/>
          <w:color w:val="auto"/>
        </w:rPr>
        <w:t xml:space="preserve"> If such Successor Entity is not the Company, no such Business Combination Event shall be effective unless the Trustee shall receive an Officer’s Certificate and an Opinion of Counsel as conclusive evidence that any such Business Combination Event and any such assumption and, if a supplemental indenture is required in connection with such Business Combination Event, such supplemental indenture, complies with the provisions of this ‎Article 11.</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interest on, or the payment or delivery of any Common Stock or cash due upon conversion of, any Note, nor for any claim based thereon or otherwise in respect thereof, and no recourse under or upon any obligation, covenant or agreement of the Company in the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Person, either directly or through the Company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Supplemental Indenture and the issue of the Notes.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r>
        <w:rPr>
          <w:rFonts w:ascii="Times New Roman" w:cs="Times New Roman" w:eastAsia="Times New Roman" w:hAnsi="Times New Roman"/>
          <w:sz w:val="18"/>
          <w:szCs w:val="18"/>
          <w:color w:val="auto"/>
        </w:rPr>
        <w:t xml:space="preserve"> (a) Subject to and upon compliance with the provisions of this ‎Article 14, each Holder of a Note shall have the right, at such Holder’s option, to convert all or any portion (if the portion to be converted is a minimum of $1,000 principal amount or an integral multiple thereof) of such Note (i) subject to satisfaction of the conditions described in ‎Section 14.01(b), at any time prior to the close of business on the</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Business Day immediately preceding January 15, 2031 under the circumstances and during the periods set forth in Section‎ 14.01(b), and (ii) regardless of the conditions described in ‎Section 14.01(b), on or after January 15, 2031 and prior to the close of business on the Business Day immediately preceding the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Maturity Date, in each case, based on an initial conversion rate of 146.9724 shares of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56"/>
        <w:spacing w:after="0" w:line="257"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close of business on the Business Day immediately preceding January 15, 2031,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(b)(i),‎ for each Trading Day of the Measurement Period was less than 98% of the product of the Last Reported Sale Price of the Common Stock and the Conversion Rate on each such Trading Day. The Trading Prices shall be determined by the Bid Solicitation Agent pursuant to this subsection (b)(i)‎</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definition of Trading Price set forth in Section‎ 1.01. At such time as the Company directs the Bid Solicitation Agent (if other than the Company) in writing to solicit bid quotations,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and the Company shall direct those securities dealers to provide bids to the Bid Solicitation Agent in accordance with the definition of Trading Price. The Bid Solicitation Agent (if other than the Company) shall have no obligation to solicit the Trading Price per $1,000 principal amount of Notes unless the Company has requested such solicitation in writing, and the Company shall have no obligation to make such request (or, if the Company is acting as Bid Solicitation Agent, the Company shall have no obligation to determine the Trading Price per $1,000 principal amount of Notes) unless a Holder or Holders of at least $1,000,000 aggregate principal amount of Notes provide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in writing to determine, or if the Company is acting as Bid Solicitation Agent, the Company shall determine, the Trading Price per $1,000 principal amount of Notes in accordance with the bids solicited by the Bid Solicitation Agent,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instruct the Bid Solicitation Agent in writing to determine the Trading Price per $1,000 principal amount of Notes when obligated as provided in the preceding sentence, or if the Company instructs the Bid Solicitation Agent in writing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promptly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promptly so notify the Holders, the Trustee and the Conversion Agent (if other than the Trustee) in writing.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ind w:left="900" w:hanging="25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January 15, 2031, the Company elects to:</w:t>
      </w:r>
    </w:p>
    <w:p>
      <w:pPr>
        <w:spacing w:after="0" w:line="225" w:lineRule="exact"/>
        <w:rPr>
          <w:rFonts w:ascii="Times New Roman" w:cs="Times New Roman" w:eastAsia="Times New Roman" w:hAnsi="Times New Roman"/>
          <w:sz w:val="18"/>
          <w:szCs w:val="18"/>
          <w:color w:val="auto"/>
        </w:rPr>
      </w:pPr>
    </w:p>
    <w:p>
      <w:pPr>
        <w:jc w:val="both"/>
        <w:ind w:left="640" w:firstLine="328"/>
        <w:spacing w:after="0" w:line="258" w:lineRule="auto"/>
        <w:tabs>
          <w:tab w:leader="none" w:pos="127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all or substantially all holders of the Common Stock any rights, options or warrants (other than in connection with a stockholder rights plan prior to separation of such rights from the Common Stock)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183" w:lineRule="exact"/>
        <w:rPr>
          <w:rFonts w:ascii="Times New Roman" w:cs="Times New Roman" w:eastAsia="Times New Roman" w:hAnsi="Times New Roman"/>
          <w:sz w:val="18"/>
          <w:szCs w:val="18"/>
          <w:color w:val="auto"/>
        </w:rPr>
      </w:pPr>
    </w:p>
    <w:p>
      <w:pPr>
        <w:jc w:val="both"/>
        <w:ind w:left="640" w:firstLine="328"/>
        <w:spacing w:after="0" w:line="261" w:lineRule="auto"/>
        <w:tabs>
          <w:tab w:leader="none" w:pos="12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Stock the Company’s assets, securities or rights, options or warrants to purchase securities of the Company, which distribution has a per share value, as determined by the Company in good faith and in a commercially reasonable manner, exceeding 10% of the Last Reported Sale Price of the Common Stock on the Trading Day immediately preceding the date of announcement for such distribution,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the Trustee and the Conversion Agent (if other than the Trustee) in writing at least 50 Scheduled Trading Days prior to the Ex-Dividend Date for such issuance or distribution (or, if later in the case of any such separation of rights issued pursuant to a stockholder rights plan, as soon as reasonably practicable after the Company becomes aware that such separation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is then otherwise permitted to settle conversions of Notes by Physical Settlement (and, for the avoidance of doubt, the Company has not elected (or been deemed to have elected) another Settlement Method to apply), then the Company may instead elect to provide such notice at least 10 Scheduled Trading Days before such Ex-Dividend Date, in which case (x) the Company shall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the Company shall state in such notice that all such conversions will be settled by Physical Settlement.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(or, if later, in the case of a separation of rights issued pursuant to a stockholder rights plan, until the 20th Trading Day following the date of such notice), in each case, even if the Notes are not otherwise convertible at such time.</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05" w:name="page106"/>
    <w:bookmarkEnd w:id="10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a Holder shall not be entitled to convert any of its Notes pursuant to this ‎Section 14.01(b)(ii) if such Holder participates, at the same time and upon the same terms as holders of the Common Stock and solely as a result of holding the Notes, in any of the transactions described in ‎Section 14.01(b)(ii)(A) or ‎Section 14.01(b)(ii)(B) without having to convert its Note as if such Holder held a number of shares of Common Stock equal to the applicable Conversion Rate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principal amount (expressed in thousands) of Notes held by such Holder.</w:t>
      </w:r>
    </w:p>
    <w:p>
      <w:pPr>
        <w:spacing w:after="0" w:line="183" w:lineRule="exact"/>
        <w:rPr>
          <w:sz w:val="20"/>
          <w:szCs w:val="20"/>
          <w:color w:val="auto"/>
        </w:rPr>
      </w:pPr>
    </w:p>
    <w:p>
      <w:pPr>
        <w:jc w:val="both"/>
        <w:ind w:firstLine="644"/>
        <w:spacing w:after="0" w:line="261" w:lineRule="auto"/>
        <w:tabs>
          <w:tab w:leader="none" w:pos="96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or event that constitutes a Fundamental Change or a Make-Whole Fundamental Change occurs prior to the close of business on the Business Day immediately preceding January 15, 2031, regardless of whether a Holder has the right to require the Company to</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Notes pursuant to Section‎ 15.02, or if the Company is a party to a Share Exchange Event (other than a Share Exchange Event that is solely for the purpose of changing the Company’s jurisdiction that (x) does not constitute a Fundamental Change or a Make-Whole Fundamental Change and (y) results in a reclassification, conversion or exchange of outstanding shares of the Common Stock solely into shares of common stock of the surviving entity and such common stock becomes Reference Property for the Notes) that occurs prior to the close of business on the Business Day immediately preceding January 15, 2031 (each such Fundamental Change, Make-Whole Fundamental Change or Share Exchange Event,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then, in each case, all or any portion of a Holder’s Notes may be surrendered for conversion at any time from or after the effective date of such Corporate Event until the 35th Trading Day after such effective date or, if such Corporate Event also constitutes a Fundamental Change (other than an Exempted Fundamental Change), until the related Fundamental Change Repurchase Date. The Company shall notify Holders, the Trustee and the Conversion Agent (if other than the Trustee) in writing of such Corporate Event and the related conversion right no later than the Business Day after the effective date of such Corporate Event. If the Company does not provide such notice by</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after such effective date, then the last day on which the Notes are convertible pursuant to this Section‎ 14.01(b)(iii) as a result of such Corporate Event shall be extended by the number of Business Days from, and including, the Business Day after such effective date to, but excluding, the date on which the Company provides the notice.</w:t>
      </w:r>
    </w:p>
    <w:p>
      <w:pPr>
        <w:spacing w:after="0" w:line="2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06" w:name="page107"/>
    <w:bookmarkEnd w:id="106"/>
    <w:p>
      <w:pPr>
        <w:jc w:val="both"/>
        <w:ind w:firstLine="644"/>
        <w:spacing w:after="0" w:line="254" w:lineRule="auto"/>
        <w:tabs>
          <w:tab w:leader="none" w:pos="9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January 15, 2031, a Holder may surrender all or any portion of its Notes for conversion at any time during any calendar quarter commencing after the calendar quarter ending on June 30,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Neither the Trustee nor the Conversion Agent shall have</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to determine or verify the Company’s determination of whether the conditions to conversion set forth in this Section‎ 14.01(b)(iv) have been met.</w:t>
      </w:r>
    </w:p>
    <w:p>
      <w:pPr>
        <w:spacing w:after="0" w:line="181" w:lineRule="exact"/>
        <w:rPr>
          <w:rFonts w:ascii="Times New Roman" w:cs="Times New Roman" w:eastAsia="Times New Roman" w:hAnsi="Times New Roman"/>
          <w:sz w:val="18"/>
          <w:szCs w:val="18"/>
          <w:color w:val="auto"/>
        </w:rPr>
      </w:pPr>
    </w:p>
    <w:p>
      <w:pPr>
        <w:jc w:val="both"/>
        <w:ind w:firstLine="644"/>
        <w:spacing w:after="0" w:line="254" w:lineRule="auto"/>
        <w:tabs>
          <w:tab w:leader="none" w:pos="9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Optional Redemption pursuant to Article‎ 16, Holders of any Called Notes may surrender for conversion such Called Notes at any time prior to the close of business on the second Scheduled Trading Day immediately prior to the related Redemption Date. After that time, the right to convert such Called Notes on account of such Redemption Notice shall expire, unless the Company defaults in the payment of the Redemption Price, in which case a Holder of Called Notes may convert all or any portion of such Called Notes until the Redemption Price has been paid or duly provided for. If the Company elects to redeem less than all of the outstanding Notes in an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pursuant to Section‎ 16.01, and the Holder of any Note (or any owner of a beneficial interest in any Global Note) is</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not able to determine, before the close of business on the 42nd Scheduled Trading Day (or if, in accordance with Section‎ 14.02, the Company elects to settle all conversions of Notes called for Optional Redemption with a Conversion Date that occurs during the related Redemption Period by Physical Settlement, before the close of business on the 14th calendar day) immediately before the relevant Redemption Date, whether such Note or beneficial interest, as applicable, is to be redeemed pursuant to such Optional Redemption, then, notwithstanding anything to the contrary in the Indenture or the Notes, such Holder or owner, as applicable, shall be entitled to convert such Note or beneficial interest, as applicable, at any time before the close of business on the second Scheduled Trading Day immediately prior to such Redemption Date, unless the Company defaults in the payment of the Redemption Price, in which case such Holder or owner, as applicable, shall be entitled to convert such Note or beneficial interest, as applicable, until the Redemption Price has been paid or duly provided for, and in each case each such</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shall be deemed to be of a Note called for Optional Redemption for purposes of this Section‎ 14.01(b)(v) and Section‎ 14.03 (“</w:t>
      </w:r>
      <w:r>
        <w:rPr>
          <w:rFonts w:ascii="Times New Roman" w:cs="Times New Roman" w:eastAsia="Times New Roman" w:hAnsi="Times New Roman"/>
          <w:sz w:val="18"/>
          <w:szCs w:val="18"/>
          <w:b w:val="1"/>
          <w:bCs w:val="1"/>
          <w:color w:val="auto"/>
        </w:rPr>
        <w:t>Deemed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07" w:name="page108"/>
    <w:bookmarkEnd w:id="107"/>
    <w:p>
      <w:pPr>
        <w:jc w:val="both"/>
        <w:ind w:firstLine="656"/>
        <w:spacing w:after="0" w:line="254" w:lineRule="auto"/>
        <w:tabs>
          <w:tab w:leader="none" w:pos="9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Certificate of Incorporation includes the Foreign Ownership Limitations, notwithstanding anything to the contrary in the Notes or the Indenture, any purported delivery of shares of Common Stock upon conversion of Notes shall be void and have no effect to the extent (but only to the extent) that such delivery would result in a violation of the restrictions on ownership of the Company’s stock set forth in the Certificate of Incorporation. If any delivery of shares of Common Stock owed to a Holder upon conversion of Notes is not made, in whole or in part, as a result of the Foreign Ownership Limitations or the other restrictions on ownership of the Company’s stock set forth in the Certificate of Incorporation, the Company’s obligation to make such delivery shall not be extinguished, and the Company shall deliver such shares as promptly as practicable after the applicable Holder gives notice to the Company and the Company determines that such delivery would not result in a violation of the restrictions on ownership of the Company’s stock set forth in the Certificate of Incorporation. The Trustee shall have no obligation to monitor any Person’s compliance with the foregoing provisions.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227" w:lineRule="exact"/>
        <w:rPr>
          <w:sz w:val="20"/>
          <w:szCs w:val="20"/>
          <w:color w:val="auto"/>
        </w:rPr>
      </w:pPr>
    </w:p>
    <w:p>
      <w:pPr>
        <w:jc w:val="both"/>
        <w:ind w:right="20" w:firstLine="656"/>
        <w:spacing w:after="0" w:line="257" w:lineRule="auto"/>
        <w:tabs>
          <w:tab w:leader="none" w:pos="8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pay and/or deliver,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shares of Common Stock, together, if applicable, with cash in lieu of delivering any fractional share of Common Stock in accordance with subsection (j)‎ of this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shares of Common Stock, together with cash, if applicable, in lieu of delivering any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fractional share of Common Stock in accordance with subsection (j)‎ 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of Called Notes for which the relevant Conversion Date occurs during the related Redemption Period, and all conversions for which the relevant Conversion Date occurs on or after January 15, 2031, shall be settled using the same Settlement Method (including the same Specified Dollar Amount, if applicable).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referred to in Section‎ 14.02(a)(i) for which the relevant Conversion Date occurs during a Redemption Period, and any conversions for which the relevant Conversion Date occurs on or after January 15, 2031, the Company shall use the same Settlement Method (including the same Specified Dollar Amount, if applicable) for all conversions with the same Conversion Date, but the Company shall not have any obligation to use the same Settlement Method with respect to conversions with different Conversion Dates.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8" w:name="page109"/>
    <w:bookmarkEnd w:id="108"/>
    <w:p>
      <w:pPr>
        <w:jc w:val="both"/>
        <w:ind w:firstLine="644"/>
        <w:spacing w:after="0" w:line="252" w:lineRule="auto"/>
        <w:tabs>
          <w:tab w:leader="none" w:pos="9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one of the periods described in the fourth immediately succeeding set of parentheses, as the case may be),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shall deliver such Settlement Notice in writing to converting Holders (with a written copy to the Trustee and the Conversion Agent (if other than the Trustee)) no later than the close of business on the Trading Day immediately following the relevant Conversion Date (or, in the case of (x) any conversions of Called Notes for which the relevant Conversion Date occurs during a related Redemption Period, in the relevant Redemption Notice, or (y) any conversions of Notes for which the relevant Conversion Date occurs on or after January 15, 2031, no later than January 15, 2031) (in each case, the “</w:t>
      </w:r>
      <w:r>
        <w:rPr>
          <w:rFonts w:ascii="Times New Roman" w:cs="Times New Roman" w:eastAsia="Times New Roman" w:hAnsi="Times New Roman"/>
          <w:sz w:val="18"/>
          <w:szCs w:val="18"/>
          <w:b w:val="1"/>
          <w:bCs w:val="1"/>
          <w:color w:val="auto"/>
        </w:rPr>
        <w:t>Settlement Method Election Deadline</w:t>
      </w:r>
      <w:r>
        <w:rPr>
          <w:rFonts w:ascii="Times New Roman" w:cs="Times New Roman" w:eastAsia="Times New Roman" w:hAnsi="Times New Roman"/>
          <w:sz w:val="18"/>
          <w:szCs w:val="18"/>
          <w:color w:val="auto"/>
        </w:rPr>
        <w:t>”). If the Company does not elect a Settlement Method with respect to a conversion prior to the deadline set forth in the immediately preceding sentence, then the Company shall no longer have the right to elect Cash Settlement or Physical Settlement for such conversion and the Company shall be deemed to have elected Combination Settlement in respect of its Conversion Obligation, and the Specified Dollar Amount per $1,000 principal amount of Notes shall be equal to $1,000, for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to Holders electing Combination Settlement in respect of its Conversion Obligation but does not indicate a Specified Dollar Amount per $1,000 principal amount of Notes in such Settlement Notice, the Specified Dollar Amount per $1,000 principal amount of Notes shall be deemed to be $1,000. If the Company calls any Notes for Optional Redemption, and the related Redemption Date is on or after January 15, 2031, then the Settlement Method that the Company elects to apply for conversions of Called Notes with a Conversion Date occurring during the related Redemption Period must be the same Settlement Method that applies to all conversions with a Conversion Date that occurs on or after January 15, 2031.</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By notice to Holders (a copy of which the Company shall concurrently provide to the Trustee and the Conversion Agent (if other than the Trustee)), the Company may, prior to January 15, 2031, at its option, irrevocably elect to satisfy its Conversion Obligation with respect to the Notes through any Settlement Method that the Company is then permitted to elect (including Combination Settlement with a Specified Dollar Amount per $1,000 principal amount of the Notes of $1,000 or with an ability to continue to set the Specified Dollar Amount per $1,000 principal amount of the Notes at or above any specified amount set forth in such election notice) for all Conversion Dates occurring subsequent to delivery of such notice. If the Company elects to irrevocably fix the Settlement Method to Combination Settlement with an ability to continue to set the Specified Dollar Amount per $1,000 principal amount of the Notes at or above a specified amount, the Company shall, after the date of such election, as the case may be, inform Holders converting their Notes (with a written copy to the Trustee and the Conversion Agent (if other than the Trustee)) in writing of such Specified Dollar Amount in respect of the relevant conversion or conversions no later than the relevant Settlement Method Election Deadline for such conversion or conversions as described above, or, if the Company does not timely inform the Holders converting their Notes of the Specified Dollar Amount, such Specified Dollar Amount shall be the specific amount set forth in the election notice or, if no specific amount was set forth in the election notice, such Specified Dollar Amount shall be deemed to be $1,000 per $1,000 principal amount of the Notes. Notwithstanding the foregoing, no such irrevocable election shall affect any Settlement Method theretofore elected (or</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deemed to be elected) with respect to any Note pursuant to this Section‎ 14.02. For the avoidance of doubt, such an irrevocable election, if made, shall be effective without the need to amend the Indenture or the Notes, including pursuant to ‎Section 10.01(g). However, the Company may nonetheless choose to execute such an amendment at the Company’s option.</w:t>
      </w:r>
    </w:p>
    <w:p>
      <w:pPr>
        <w:spacing w:after="0" w:line="2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09" w:name="page110"/>
    <w:bookmarkEnd w:id="10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irrevocably fixes the Settlement Method pursuant to the immediately preceding paragraph, then the Company shall either post the fixed Settlement Method on its website or disclose the same in a current report on Form 8-K (or any successor form) that is filed with the Commission.</w:t>
      </w:r>
    </w:p>
    <w:p>
      <w:pPr>
        <w:spacing w:after="0" w:line="176" w:lineRule="exact"/>
        <w:rPr>
          <w:sz w:val="20"/>
          <w:szCs w:val="20"/>
          <w:color w:val="auto"/>
        </w:rPr>
      </w:pPr>
    </w:p>
    <w:p>
      <w:pPr>
        <w:ind w:firstLine="644"/>
        <w:spacing w:after="0" w:line="282" w:lineRule="auto"/>
        <w:tabs>
          <w:tab w:leader="none" w:pos="9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shares of Common Stock or combination of cash and shares of Common Stock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161" w:lineRule="exact"/>
        <w:rPr>
          <w:rFonts w:ascii="Times New Roman" w:cs="Times New Roman" w:eastAsia="Times New Roman" w:hAnsi="Times New Roman"/>
          <w:sz w:val="18"/>
          <w:szCs w:val="18"/>
          <w:color w:val="auto"/>
        </w:rPr>
      </w:pPr>
    </w:p>
    <w:p>
      <w:pPr>
        <w:jc w:val="both"/>
        <w:ind w:left="640" w:firstLine="328"/>
        <w:spacing w:after="0" w:line="261" w:lineRule="auto"/>
        <w:tabs>
          <w:tab w:leader="none" w:pos="12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immediately after the close of business on the relevant Conversion Date (plus cash in lieu of any fractional share of Common Stock issuable upon such conversion);</w:t>
      </w:r>
    </w:p>
    <w:p>
      <w:pPr>
        <w:spacing w:after="0" w:line="179" w:lineRule="exact"/>
        <w:rPr>
          <w:rFonts w:ascii="Times New Roman" w:cs="Times New Roman" w:eastAsia="Times New Roman" w:hAnsi="Times New Roman"/>
          <w:sz w:val="18"/>
          <w:szCs w:val="18"/>
          <w:color w:val="auto"/>
        </w:rPr>
      </w:pPr>
    </w:p>
    <w:p>
      <w:pPr>
        <w:jc w:val="both"/>
        <w:ind w:left="640" w:firstLine="328"/>
        <w:spacing w:after="0" w:line="266" w:lineRule="auto"/>
        <w:tabs>
          <w:tab w:leader="none" w:pos="124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VWAP Trading Days during the related Observation Period; and</w:t>
      </w:r>
    </w:p>
    <w:p>
      <w:pPr>
        <w:spacing w:after="0" w:line="175" w:lineRule="exact"/>
        <w:rPr>
          <w:rFonts w:ascii="Times New Roman" w:cs="Times New Roman" w:eastAsia="Times New Roman" w:hAnsi="Times New Roman"/>
          <w:sz w:val="18"/>
          <w:szCs w:val="18"/>
          <w:color w:val="auto"/>
        </w:rPr>
      </w:pPr>
    </w:p>
    <w:p>
      <w:pPr>
        <w:jc w:val="both"/>
        <w:ind w:left="640" w:firstLine="328"/>
        <w:spacing w:after="0" w:line="261" w:lineRule="auto"/>
        <w:tabs>
          <w:tab w:leader="none" w:pos="127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Combination Settlement, the Company shall pay and/or deliver, as the case may be, in respect of each $1,000 principal amount of Notes being converted, a Settlement Amount equal to the sum of the Daily Settlement Amounts for each of the 40 consecutive VWAP Trading Days during the related Observation Period (plus cash in lieu of any fractional share of Common Stock issuable upon such conversion).</w:t>
      </w:r>
    </w:p>
    <w:p>
      <w:pPr>
        <w:spacing w:after="0" w:line="180" w:lineRule="exact"/>
        <w:rPr>
          <w:sz w:val="20"/>
          <w:szCs w:val="20"/>
          <w:color w:val="auto"/>
        </w:rPr>
      </w:pPr>
    </w:p>
    <w:p>
      <w:pPr>
        <w:jc w:val="both"/>
        <w:ind w:firstLine="968"/>
        <w:spacing w:after="0" w:line="256" w:lineRule="auto"/>
        <w:tabs>
          <w:tab w:leader="none" w:pos="125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as soon as reasonably practicable following the last day of the Observation Period. Following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10" w:name="page111"/>
    <w:bookmarkEnd w:id="110"/>
    <w:p>
      <w:pPr>
        <w:jc w:val="both"/>
        <w:ind w:right="20" w:firstLine="656"/>
        <w:spacing w:after="0" w:line="261"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procedures of the Depositary in effect at that time and, if required, pay to the Company funds equal to interest payable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Interest Payment Date to which such Holder is not entitled as set forth in Section‎ 14.02(h) and (ii) in the case of a Physical Note (A) complete, manually sign and deliver an irrevocable notice to the Conversion Agent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(B) surrender such Notes, duly endorsed to the Company or in blank (and accompanied by appropriate endorsement and transfer documents), at the office of the Conversion Agent, (C) if required, furnish appropriate endorsements and transfer documents and (D) if required, pay to the Company</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equal to interest payable on the next Interest Payment Date to which such Holder is not entitled as set forth in Section‎ 14.02(h). The Trustee (and if</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Section‎ 15.03.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any procedures or requirements of the applicable Depositary in the case of any Global Note, 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72" w:lineRule="exact"/>
        <w:rPr>
          <w:sz w:val="20"/>
          <w:szCs w:val="20"/>
          <w:color w:val="auto"/>
        </w:rPr>
      </w:pPr>
    </w:p>
    <w:p>
      <w:pPr>
        <w:ind w:left="900" w:hanging="244"/>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w:t>
      </w:r>
    </w:p>
    <w:p>
      <w:pPr>
        <w:spacing w:after="0" w:line="3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the requirements set forth in subsection (b)‎ above. Except as set forth in Section‎ 14.03(b) and Section‎ 14.07(a), the Company shall pay and/or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occurring after the Regular Record Date immediately preceding the Maturity Date, the Company shall settle the related conversion on the Maturity Date), or on the second Business Day immediately following the last VWAP Trading Day of the Observation Period, in the case of any other Settlement Method. If any shares of Common Stock are due to a converting Holder, the Company shall issue and deliver (or otherwise cause to be issued and delivered) to such Holder, or such Holder’s nominee or nominees, the full number of shares of Common Stock to which such Holder shall be entitled, in book-entry format through the Depositary, in satisfaction of the Company’s Conversion Obligation.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jc w:val="both"/>
        <w:ind w:firstLine="656"/>
        <w:spacing w:after="0" w:line="256" w:lineRule="auto"/>
        <w:tabs>
          <w:tab w:leader="none" w:pos="9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Company may refuse to deliver the certificates (or book-entry evidence) representing the shares of Common Stock being issued in a name other than the Holder’s name until the Company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Common Stock issued upon the conversion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as provided in this Article‎ 14.</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but prior to the open of business on the immediately following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the corresponding Regular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payment shall be required (i) for conversions following the Regular Record Date immediately preceding the Maturity Date; (ii) with respect to conversions of any Called Notes, if the Company has specified a Redemption Date that is after a Regular Record Date and on or prior to the second Scheduled Trading Day immediately following the corresponding Interest Payment Date; (iii) if the Company has specified a Fundamental Change Repurchase Date that is after a Regular Record Date and on or prior to the Business Day immediately following the corresponding Interest Payment Date; or (iv) to the extent of any Defaulted Amounts, if any Defaulted Amounts exists at the time of conversion with respect to such Note. Therefore, for the avoidance of doubt, all Holders of record as of the close of business on the Regular Record Date immediately preceding the Maturity Date, any Redemption Date or any Fundamental Change Repurchase Date as described in the preceding clauses (i)‎ through (iii)‎ shall receive the full interest payment due on the Maturity Date or other applicable Interest Payment Date in cash regardless of whether their Notes have been converted following such Regular Record Date, and the converting Holder shall not be required to make a corresponding payment.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jc w:val="both"/>
        <w:ind w:firstLine="656"/>
        <w:spacing w:after="0" w:line="258" w:lineRule="auto"/>
        <w:tabs>
          <w:tab w:leader="none" w:pos="8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shares of Common Stock shall be issuable upon conversion shall be treated as a stockholder of record of such shares as of the close of business on the relevant Conversion Date (if the Company elects to satisfy the related Conversion Obligation by Physical Settlement) or the last VWAP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8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VWAP Trading Day of the relevant Observation Period (in the case of Combination Settlement). Subject to any procedures or requirements of the applicable Depositary in the case of any Global Note, for each Note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Notice. </w:t>
      </w:r>
      <w:r>
        <w:rPr>
          <w:rFonts w:ascii="Times New Roman" w:cs="Times New Roman" w:eastAsia="Times New Roman" w:hAnsi="Times New Roman"/>
          <w:sz w:val="18"/>
          <w:szCs w:val="18"/>
          <w:color w:val="auto"/>
        </w:rPr>
        <w:t>(a) If (x) the Effective Date of a Make-Whole Fundamental Change occurs prior to the Maturity Date or (y) the Company gives a</w:t>
      </w:r>
    </w:p>
    <w:p>
      <w:pPr>
        <w:jc w:val="both"/>
        <w:spacing w:after="0" w:line="251" w:lineRule="auto"/>
        <w:rPr>
          <w:sz w:val="20"/>
          <w:szCs w:val="20"/>
          <w:color w:val="auto"/>
        </w:rPr>
      </w:pPr>
      <w:r>
        <w:rPr>
          <w:rFonts w:ascii="Times New Roman" w:cs="Times New Roman" w:eastAsia="Times New Roman" w:hAnsi="Times New Roman"/>
          <w:sz w:val="18"/>
          <w:szCs w:val="18"/>
          <w:color w:val="auto"/>
        </w:rPr>
        <w:t>Redemption Notice with respect to any or all of the Notes in accordance with ‎Article 16 and, in each case, a Holder elects to convert any Note in connection with such Make-Whole Fundamental Change or convert its Called Notes in connection with a Redemption Notice, as the case may be, then the Company shall, under the circumstances set forth 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as set forth below. A conversion of Notes shall be deemed for these purposes to be “in connection with” such Make-Whole Fundamental Change if the relevant Notice of Conversion is received by the Conversion Agent from, and including, the Effective Date of such Make-Whole Fundamental Change up to, and including, the Business Day immediately prior to the related Fundamental Change Repurchase Date (or, in the case of a Make-Whole Fundamental Change that is an Exempted Fundamental Change or would have been a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Called Notes shall be deemed for these purposes to be “in connection with” a Redemption Notice if the relevant Conversion Date occurs during the related Redemption Period. For the avoidance of doubt, the Company shall increase the Conversion Rate in connection with a Redemption Notice only with respect to conversions of Called Notes, and not for Notes that are not Called Notes. Accordingly, if the Company elects to redeem less than all of the outstanding Notes in an Optional Redemption pursuant to ‎Section 16.01, Holders of the Notes that are not Called Notes shall not be entitled to convert such Notes on account of the related Redemption Notice and shall not be entitled to an increased Conversion Rate for conversions of such Notes on account of the Redemption Notice during the related Redemption Period if such Notes are otherwise convertible.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ind w:left="920" w:hanging="264"/>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Notes for conversion in connection with a Make-Whole Fundamental Change or Redemption Notice, the Company shall,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option, satisfy the related Conversion Obligation by Physical Settlement, Cash Settlement or Combination Settlement in accordance with Section‎ 14.02</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any increase in the Conversion Rate pursuant to Section‎ 14.03(a));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that constitutes a Share Exchange Event, the Reference Property of which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paid to Holders in cash on the second Business Day following the Conversion Date. The Company shall notify the Holders, the Trustee and the Conversion Agent (if other than the Trustee) in writing of the Effective Date of any Make-Whole Fundamental Change and, no later than five Business Days after such Effective Date, issue a press release announcing such Effective Date, disclose such Effective Date in a current report on Form 8-K or post such Effective Date on the Company’s website.</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Conversion Rate shall be increased shall be determined by reference to the table below, based on the date on which the Make-Whole Fundamental Change occurs or becomes effective or the date of the Redemption Notice,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paid (or deemed to be paid) per share of the Common Stock in the Make-Whole Fundamental Change, or with respect to an Optional Redemption, the average of the Last Reported Sale Prices of the Common Stock over the five Trading Day period ending on, and including, the Trading Day immediately preceding the date of such Redemption Notice, as the case may be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If the holders of the Common Stock receive in exchange for their Common Stock only cash in a Make-Whole Fundamental Change described in clause (b) of the definition of Fundamental Change, the Stock Price shall be the cash amount paid per share. Otherwise, the Stock Price with respect to a Make-Whole Fundamental Change shall be the average of the Last Reported Sale Prices of the Common Stock over the five Trading Day period ending on, and including, the Trading Day immediately preceding the Effective Date of the Make-Whole Fundamental Change. The Company shall make appropriate adjustments to the Stock Price, in its good faith determination and in a commercially reasonable manner, to account for any adjustment to the Conversion Rate that becomes</w:t>
      </w:r>
    </w:p>
    <w:p>
      <w:pPr>
        <w:spacing w:after="0" w:line="5"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or any event requiring an adjustment to the Conversion Rate where the Ex-Dividend Date, Effective Date (as such term is used in Section‎ 14.04) or expiration date of the event occurs during such five consecutive Trading Day period.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jc w:val="both"/>
        <w:ind w:firstLine="656"/>
        <w:spacing w:after="0" w:line="255" w:lineRule="auto"/>
        <w:tabs>
          <w:tab w:leader="none" w:pos="9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and at the same time as the Conversion Rate as set forth in Section‎ 14.04.</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of Common Stock by which the Conversion Rate shall be increased per $1,000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Notes pursuant to this Section‎ 14.03 for each Stock Price and Effective Date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Stock Price</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$4.86</w:t>
            </w:r>
          </w:p>
        </w:tc>
        <w:tc>
          <w:tcPr>
            <w:tcW w:w="18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$5.50</w:t>
            </w:r>
          </w:p>
        </w:tc>
        <w:tc>
          <w:tcPr>
            <w:tcW w:w="20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$6.25</w:t>
            </w:r>
          </w:p>
        </w:tc>
        <w:tc>
          <w:tcPr>
            <w:tcW w:w="20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$6.80</w:t>
            </w:r>
          </w:p>
        </w:tc>
        <w:tc>
          <w:tcPr>
            <w:tcW w:w="20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$7.75</w:t>
            </w:r>
          </w:p>
        </w:tc>
        <w:tc>
          <w:tcPr>
            <w:tcW w:w="22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$8.84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$90.00</w:t>
            </w:r>
          </w:p>
        </w:tc>
        <w:tc>
          <w:tcPr>
            <w:tcW w:w="100" w:type="dxa"/>
            <w:vAlign w:val="bottom"/>
          </w:tcPr>
          <w:p>
            <w:pPr>
              <w:spacing w:after="0"/>
              <w:rPr>
                <w:sz w:val="19"/>
                <w:szCs w:val="19"/>
                <w:color w:val="auto"/>
              </w:rPr>
            </w:pPr>
          </w:p>
        </w:tc>
      </w:tr>
      <w:tr>
        <w:trPr>
          <w:trHeight w:val="203"/>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17, 2026</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58.7889</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48.2836</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39.2832</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34.2353</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27.6077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22.1878</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18.0490</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9.0440</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3.5752</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0.3442</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15, 2027</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58.7889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47.7218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38.2048</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32.9294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26.0968</w:t>
            </w:r>
          </w:p>
        </w:tc>
        <w:tc>
          <w:tcPr>
            <w:tcW w:w="2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20.6109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16.5060</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7.9287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3.0568</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1.0733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0.2828</w:t>
            </w:r>
          </w:p>
        </w:tc>
        <w:tc>
          <w:tcPr>
            <w:tcW w:w="2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r>
      <w:tr>
        <w:trPr>
          <w:trHeight w:val="20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15, 2028</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58.7889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46.4455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36.2864</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30.7500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23.7174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18.2285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14.2440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6.4293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0.8520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0.2138</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r>
      <w:tr>
        <w:trPr>
          <w:trHeight w:val="203"/>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15, 2029</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58.7889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44.1145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33.0656</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27.2000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19.9884</w:t>
            </w:r>
          </w:p>
        </w:tc>
        <w:tc>
          <w:tcPr>
            <w:tcW w:w="2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14.6267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10.9440</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0.6040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0.1390</w:t>
            </w:r>
          </w:p>
        </w:tc>
        <w:tc>
          <w:tcPr>
            <w:tcW w:w="2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r>
      <w:tr>
        <w:trPr>
          <w:trHeight w:val="20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15, 2030</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58.7889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40.0945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27.4368</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21.0574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13.7742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8.9683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2.1880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0.8772</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0.3283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0.0645</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15, 2031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58.7889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34.8455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13.0272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0.0868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r>
    </w:tbl>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225" w:lineRule="exact"/>
        <w:rPr>
          <w:sz w:val="20"/>
          <w:szCs w:val="20"/>
          <w:color w:val="auto"/>
        </w:rPr>
      </w:pPr>
    </w:p>
    <w:p>
      <w:pPr>
        <w:jc w:val="both"/>
        <w:ind w:left="660" w:firstLine="644"/>
        <w:spacing w:after="0" w:line="261" w:lineRule="auto"/>
        <w:tabs>
          <w:tab w:leader="none" w:pos="15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will be increased shall be determined by a straight-line interpolation between the number of Additional Shares set forth for the higher and lower Stock Prices and the earlier and later Effective Dates, as applicable, based on a 365-day year;</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$90.00 per share (subject to adjustment in the same manner as the Stock Prices set forth in the column headings of the table above pursuant to subsection (d)‎ above), no Additional Shares shall be added to the Conversion Rate;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ind w:left="660" w:firstLine="644"/>
        <w:spacing w:after="0" w:line="282" w:lineRule="auto"/>
        <w:tabs>
          <w:tab w:leader="none" w:pos="16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$4.86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205.7613 shares of Common Stock, subject to adjustment in the same manner as the Conversion Rate pursuant to ‎Section 14.04.</w:t>
      </w:r>
    </w:p>
    <w:p>
      <w:pPr>
        <w:spacing w:after="0" w:line="162" w:lineRule="exact"/>
        <w:rPr>
          <w:sz w:val="20"/>
          <w:szCs w:val="20"/>
          <w:color w:val="auto"/>
        </w:rPr>
      </w:pPr>
    </w:p>
    <w:p>
      <w:pPr>
        <w:ind w:firstLine="656"/>
        <w:spacing w:after="0" w:line="282" w:lineRule="auto"/>
        <w:tabs>
          <w:tab w:leader="none" w:pos="8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 14.04 in respect of a Make-Whole Fundamental Change.</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each Holder of the Notes participates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such Holder’s Notes, as if such Holder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firstLine="656"/>
        <w:spacing w:after="0" w:line="282" w:lineRule="auto"/>
        <w:tabs>
          <w:tab w:leader="none" w:pos="89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all or substantially all outstanding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114300</wp:posOffset>
            </wp:positionV>
            <wp:extent cx="120015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001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of such dividend or distribution, or</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 or Effective Date;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prior to the open of business on such Ex-Dividend Date or Effective Date</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(before giving effect to such dividend, distribution, split or combination);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number of shares of Common Stock outstanding immediately after giving effect to such dividend, distribution, share split or share</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combination.</w:t>
            </w:r>
          </w:p>
        </w:tc>
      </w:tr>
      <w:tr>
        <w:trPr>
          <w:trHeight w:val="547"/>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240"/>
          </w:cols>
          <w:pgMar w:left="320" w:top="796" w:right="339" w:bottom="1440" w:gutter="0" w:footer="0" w:header="0"/>
        </w:sectPr>
      </w:pPr>
    </w:p>
    <w:bookmarkStart w:id="116" w:name="page117"/>
    <w:bookmarkEnd w:id="1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3" w:lineRule="exact"/>
        <w:rPr>
          <w:sz w:val="20"/>
          <w:szCs w:val="20"/>
          <w:color w:val="auto"/>
        </w:rPr>
      </w:pPr>
    </w:p>
    <w:p>
      <w:pPr>
        <w:jc w:val="both"/>
        <w:ind w:firstLine="656"/>
        <w:spacing w:after="0" w:line="258" w:lineRule="auto"/>
        <w:tabs>
          <w:tab w:leader="none" w:pos="9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128270</wp:posOffset>
            </wp:positionV>
            <wp:extent cx="147447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80" w:type="dxa"/>
            <w:vAlign w:val="bottom"/>
          </w:tcPr>
          <w:p>
            <w:pPr>
              <w:spacing w:after="0"/>
              <w:rPr>
                <w:sz w:val="20"/>
                <w:szCs w:val="20"/>
                <w:color w:val="auto"/>
              </w:rPr>
            </w:pPr>
          </w:p>
        </w:tc>
        <w:tc>
          <w:tcPr>
            <w:tcW w:w="892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9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issuance;</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r>
    </w:tbl>
    <w:p>
      <w:pPr>
        <w:spacing w:after="0" w:line="18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223" w:lineRule="exact"/>
        <w:rPr>
          <w:sz w:val="20"/>
          <w:szCs w:val="20"/>
          <w:color w:val="auto"/>
        </w:rPr>
      </w:pPr>
    </w:p>
    <w:p>
      <w:pPr>
        <w:ind w:left="980" w:hanging="972"/>
        <w:spacing w:after="0" w:line="267" w:lineRule="auto"/>
        <w:tabs>
          <w:tab w:leader="none" w:pos="6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7" w:name="page118"/>
    <w:bookmarkEnd w:id="1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effective as of the date the Board of Directors determines not to issue such rights, options or warrants, to the Conversion Rate that would then be in effect if such Ex-Dividend Date for such issuance had not occurred.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87" w:lineRule="exact"/>
        <w:rPr>
          <w:sz w:val="20"/>
          <w:szCs w:val="20"/>
          <w:color w:val="auto"/>
        </w:rPr>
      </w:pPr>
    </w:p>
    <w:p>
      <w:pPr>
        <w:jc w:val="both"/>
        <w:ind w:firstLine="656"/>
        <w:spacing w:after="0" w:line="261" w:lineRule="auto"/>
        <w:tabs>
          <w:tab w:leader="none" w:pos="89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as to which an adjustment was effected (or would have been effected but for the 1% Exception) pursuant to Section‎ 14.04(a) or Section‎ 14.04(b),</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paid exclusively in cash as to which the provisions set forth in Section‎ 14.04(d) shall apply, (iii) rights issued pursuant to a</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plan, except to the extent set forth in Section‎ 14.11, (iv) any distributions of Reference Property in exchange for the Common Stock in connection</w:t>
      </w:r>
    </w:p>
    <w:p>
      <w:pPr>
        <w:spacing w:after="0" w:line="9"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Share Exchange Event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129540</wp:posOffset>
            </wp:positionV>
            <wp:extent cx="1671320" cy="480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671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6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Common Stock over the 10 consecutive Trading Day period ending on, and including, the</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fair market value (as determined by the Company in good faith and in a commercially reasonable manner) of the Distributed Property with</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 to each outstanding share of the Common Stock on the Ex-Dividend Date for such distribution.</w:t>
            </w:r>
          </w:p>
        </w:tc>
      </w:tr>
      <w:tr>
        <w:trPr>
          <w:trHeight w:val="547"/>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73</w:t>
            </w:r>
          </w:p>
        </w:tc>
      </w:tr>
    </w:tbl>
    <w:p>
      <w:pPr>
        <w:sectPr>
          <w:pgSz w:w="11900" w:h="16838" w:orient="portrait"/>
          <w:cols w:equalWidth="0" w:num="1">
            <w:col w:w="11240"/>
          </w:cols>
          <w:pgMar w:left="320" w:top="796" w:right="339" w:bottom="1440" w:gutter="0" w:footer="0" w:header="0"/>
        </w:sectPr>
      </w:pPr>
    </w:p>
    <w:bookmarkStart w:id="118" w:name="page119"/>
    <w:bookmarkEnd w:id="118"/>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effective as of the date the Board of Directors determines not to pay or make such distribution,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‎Section 14.04(c)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125730</wp:posOffset>
            </wp:positionV>
            <wp:extent cx="1817370" cy="548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8173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end of the Valuation Period;</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end of the Valuation Period;</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Capital Stock or similar equity interest distributed to holders of the Common Stock</w:t>
            </w:r>
          </w:p>
        </w:tc>
      </w:tr>
      <w:tr>
        <w:trPr>
          <w:trHeight w:val="207"/>
        </w:trPr>
        <w:tc>
          <w:tcPr>
            <w:tcW w:w="580" w:type="dxa"/>
            <w:vAlign w:val="bottom"/>
          </w:tcPr>
          <w:p>
            <w:pPr>
              <w:spacing w:after="0"/>
              <w:rPr>
                <w:sz w:val="18"/>
                <w:szCs w:val="18"/>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 to one share of the Common Stock over the first 10 consecutive Trading Day period after, and including, the Ex-Dividend Date of</w:t>
            </w:r>
          </w:p>
        </w:tc>
      </w:tr>
      <w:tr>
        <w:trPr>
          <w:trHeight w:val="238"/>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46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Common Stock over the Valuation Period.</w:t>
            </w:r>
          </w:p>
        </w:tc>
      </w:tr>
      <w:tr>
        <w:trPr>
          <w:trHeight w:val="530"/>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240"/>
          </w:cols>
          <w:pgMar w:left="320" w:top="796"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VWAP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for the Spin-Off to, and including, such VWAP Trading Day in determining the Conversion Rate as of such VWAP Trading Day. If any dividend or distribution that constitute a Spin-Off is declared but not so paid or made, the Conversion Rate shall be immediately decreased, effective as of the date the Board of Directors determines not to pay such dividend or distribution, to the Conversion Rate that would then be in effect if such dividend or distribution had not been declared or announced.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appropriate adjustment (if any is required) to the Conversion Rate shall be made under this Section‎ 14.04(c). If any such right, option or warrant, including any such existing rights, options or warrants distributed prior to the date of this Supplemental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960" w:hanging="30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14.04(c) with respect to such Clause C Distribution shall then be made, and (2) the Clause A Distribution and Clause B Distribution shall be deemed to</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7" w:lineRule="exact"/>
        <w:rPr>
          <w:sz w:val="20"/>
          <w:szCs w:val="20"/>
          <w:color w:val="auto"/>
        </w:rPr>
      </w:pPr>
    </w:p>
    <w:p>
      <w:pPr>
        <w:ind w:firstLine="656"/>
        <w:spacing w:after="0" w:line="282" w:lineRule="auto"/>
        <w:tabs>
          <w:tab w:leader="none" w:pos="9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114300</wp:posOffset>
            </wp:positionV>
            <wp:extent cx="1885950" cy="625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8859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80" w:type="dxa"/>
            <w:vAlign w:val="bottom"/>
          </w:tcPr>
          <w:p>
            <w:pPr>
              <w:spacing w:after="0"/>
              <w:rPr>
                <w:sz w:val="20"/>
                <w:szCs w:val="20"/>
                <w:color w:val="auto"/>
              </w:rPr>
            </w:pPr>
          </w:p>
        </w:tc>
        <w:tc>
          <w:tcPr>
            <w:tcW w:w="103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dividend or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Last Reported Sale Price of the Common Stock on the Trading Day immediately preceding the Ex-Dividend Date for such dividend or</w:t>
            </w:r>
          </w:p>
        </w:tc>
      </w:t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and</w:t>
            </w:r>
          </w:p>
        </w:tc>
      </w:tr>
    </w:tbl>
    <w:p>
      <w:pPr>
        <w:spacing w:after="0" w:line="19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Common Stock.</w:t>
      </w:r>
    </w:p>
    <w:p>
      <w:pPr>
        <w:spacing w:after="0" w:line="22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then,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1" w:name="page122"/>
    <w:bookmarkEnd w:id="121"/>
    <w:p>
      <w:pPr>
        <w:jc w:val="both"/>
        <w:ind w:firstLine="656"/>
        <w:spacing w:after="0" w:line="258" w:lineRule="auto"/>
        <w:tabs>
          <w:tab w:leader="none" w:pos="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makes a payment in respect of a tender or exchange offer for the Common Stock (other than an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128270</wp:posOffset>
            </wp:positionV>
            <wp:extent cx="2305685" cy="5918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3056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 Trading Day next succeeding the date such tender or exchange offer expires;</w:t>
      </w:r>
    </w:p>
    <w:p>
      <w:pPr>
        <w:spacing w:after="0" w:line="162" w:lineRule="exact"/>
        <w:rPr>
          <w:sz w:val="20"/>
          <w:szCs w:val="20"/>
          <w:color w:val="auto"/>
        </w:rPr>
      </w:pPr>
    </w:p>
    <w:p>
      <w:pPr>
        <w:sectPr>
          <w:pgSz w:w="11900" w:h="16838" w:orient="portrait"/>
          <w:cols w:equalWidth="0" w:num="2">
            <w:col w:w="320" w:space="66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 Trading Day next succeeding the date such tender or exchange offer expires;</w:t>
      </w:r>
    </w:p>
    <w:p>
      <w:pPr>
        <w:spacing w:after="0" w:line="162" w:lineRule="exact"/>
        <w:rPr>
          <w:sz w:val="20"/>
          <w:szCs w:val="20"/>
          <w:color w:val="auto"/>
        </w:rPr>
      </w:pPr>
    </w:p>
    <w:p>
      <w:pPr>
        <w:sectPr>
          <w:pgSz w:w="11900" w:h="16838" w:orient="portrait"/>
          <w:cols w:equalWidth="0" w:num="2">
            <w:col w:w="300" w:space="68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AC</w:t>
      </w:r>
    </w:p>
    <w:p>
      <w:pPr>
        <w:spacing w:after="0" w:line="20" w:lineRule="exact"/>
        <w:rPr>
          <w:sz w:val="20"/>
          <w:szCs w:val="20"/>
          <w:color w:val="auto"/>
        </w:rPr>
      </w:pPr>
      <w:r>
        <w:rPr>
          <w:sz w:val="20"/>
          <w:szCs w:val="20"/>
          <w:color w:val="auto"/>
        </w:rPr>
        <w:br w:type="column"/>
      </w:r>
    </w:p>
    <w:p>
      <w:pPr>
        <w:ind w:right="20"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aggregate value of all cash and any other consideration (as determined by the Company in good faith and in a commercially reasonable manner) paid or payable for shares of Common Stock purchased in such tender or exchange offer;</w:t>
      </w:r>
    </w:p>
    <w:p>
      <w:pPr>
        <w:spacing w:after="0" w:line="162" w:lineRule="exact"/>
        <w:rPr>
          <w:sz w:val="20"/>
          <w:szCs w:val="20"/>
          <w:color w:val="auto"/>
        </w:rPr>
      </w:pPr>
    </w:p>
    <w:p>
      <w:pPr>
        <w:sectPr>
          <w:pgSz w:w="11900" w:h="16838" w:orient="portrait"/>
          <w:cols w:equalWidth="0" w:num="2">
            <w:col w:w="260" w:space="72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62" w:lineRule="exact"/>
        <w:rPr>
          <w:sz w:val="20"/>
          <w:szCs w:val="20"/>
          <w:color w:val="auto"/>
        </w:rPr>
      </w:pPr>
    </w:p>
    <w:p>
      <w:pPr>
        <w:sectPr>
          <w:pgSz w:w="11900" w:h="16838" w:orient="portrait"/>
          <w:cols w:equalWidth="0" w:num="2">
            <w:col w:w="320" w:space="66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62" w:lineRule="exact"/>
        <w:rPr>
          <w:sz w:val="20"/>
          <w:szCs w:val="20"/>
          <w:color w:val="auto"/>
        </w:rPr>
      </w:pPr>
    </w:p>
    <w:p>
      <w:pPr>
        <w:sectPr>
          <w:pgSz w:w="11900" w:h="16838" w:orient="portrait"/>
          <w:cols w:equalWidth="0" w:num="2">
            <w:col w:w="300" w:space="680"/>
            <w:col w:w="1026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Common Stock over the 10 consecutive Trading Day period commencing on, and including, the Trading Day next succeeding the date such tender or exchange offer expires.</w:t>
      </w:r>
    </w:p>
    <w:p>
      <w:pPr>
        <w:spacing w:after="0" w:line="162" w:lineRule="exact"/>
        <w:rPr>
          <w:sz w:val="20"/>
          <w:szCs w:val="20"/>
          <w:color w:val="auto"/>
        </w:rPr>
      </w:pPr>
    </w:p>
    <w:p>
      <w:pPr>
        <w:sectPr>
          <w:pgSz w:w="11900" w:h="16838" w:orient="portrait"/>
          <w:cols w:equalWidth="0" w:num="2">
            <w:col w:w="260" w:space="720"/>
            <w:col w:w="10260"/>
          </w:cols>
          <w:pgMar w:left="320" w:top="796" w:right="339" w:bottom="1440" w:gutter="0" w:footer="0" w:header="0"/>
          <w:type w:val="continuous"/>
        </w:sect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VWAP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VWAP Trading Day in determining the Conversion Rate as of such VWAP Trading Day.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the Common Stock pursuant to any such tender or exchange offer described in this ‎Section 14.04(e) but the Company or such Subsidiary is permanently prevented by applicable law from effecting an such purchase or all such purchases are rescinded, the applicable Conversion Rate shall be readjusted to be the Conversion Rate that would then be in effect if such tender or exchange offer had not been made or had been made only in respect of purchases that have been effected.</w:t>
      </w:r>
    </w:p>
    <w:p>
      <w:pPr>
        <w:spacing w:after="0" w:line="180" w:lineRule="exact"/>
        <w:rPr>
          <w:sz w:val="20"/>
          <w:szCs w:val="20"/>
          <w:color w:val="auto"/>
        </w:rPr>
      </w:pPr>
    </w:p>
    <w:p>
      <w:pPr>
        <w:jc w:val="both"/>
        <w:ind w:firstLine="656"/>
        <w:spacing w:after="0" w:line="261"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the Indenture or the Notes, if a Conversion Rate adjustment becomes effective on any Ex-Dividend Date, and a Holder that has converted its Notes on or after such Ex-Dividend Date and on or prior to the related Record Date would be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as the record holder of the shares of Common Stock as of the related Conversion Date as described under Section‎ 14.02(i) based on an adjusted</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a notice of the increase at least 15 days prior to the date the increased Conversion Rate takes effect, and such notice shall state the increased Conversion Rate and the period during which it will be in effect.</w:t>
      </w:r>
    </w:p>
    <w:p>
      <w:pPr>
        <w:spacing w:after="0" w:line="18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ind w:left="660" w:firstLine="644"/>
        <w:spacing w:after="0" w:line="282" w:lineRule="auto"/>
        <w:tabs>
          <w:tab w:leader="none" w:pos="158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shares of Common Stock pursuant to an open market share repurchase program or other buy-back</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that is not a tender offer or exchange offer of the nature described under Section‎ 14.04‎(e);</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Stock; or</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to make an adjustment to the Conversion Rate unless the adjustment would require a change of at least 1% in the Conversion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carry forward, and take into account in any future adjustment, any adjustments that are less than 1% of the Conversion Rate and make such carried-forward adjustments, regardless of whether the aggregate adjustment is at least 1%, (i) on the effective date for any Make-Whole Fundamental Change and/or Fundamental Change, (ii) prior to the close of business on the Conversion Date for any Note as to which Physical Settlement applies or in respect of any conversion following a replacement of the Common Stock by Reference Property consisting solely of cash, (iii) prior to the open of business on each VWAP Trading Day of any Observation Period in respect of the conversion of any Note as to which Cash Settlement or Combination Settlement applies (other than as set forth in clause (ii)‎ above), (iv) on the date the Company sends a Redemption Notice for all or any Notes, (v) on the date on which all such deferred adjustments would result in an aggregate change to the Conversion Rate of at least 1% and (vi) on January 15, 2031.</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4" w:name="page125"/>
    <w:bookmarkEnd w:id="124"/>
    <w:p>
      <w:pPr>
        <w:jc w:val="both"/>
        <w:ind w:firstLine="656"/>
        <w:spacing w:after="0" w:line="261" w:lineRule="auto"/>
        <w:tabs>
          <w:tab w:leader="none" w:pos="95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the Indenture requires the Company to calculate the Last Reported Sale Prices, the Daily VWAPs, the Daily Conversion Values or the Daily Settlement Amounts over a span of multiple days (including, without limitation, an Observation Period and the period for determining the Stock Price for purposes of a Make-Whole Fundamental Change or Optional Redemption), the Company shall make appropriate adjustments to each in good faith and in a commercially reasonable manner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p>
      <w:pPr>
        <w:spacing w:after="0" w:line="227" w:lineRule="exact"/>
        <w:rPr>
          <w:sz w:val="20"/>
          <w:szCs w:val="20"/>
          <w:color w:val="auto"/>
        </w:rPr>
      </w:pPr>
    </w:p>
    <w:p>
      <w:pPr>
        <w:ind w:left="900" w:hanging="244"/>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w:t>
      </w:r>
    </w:p>
    <w:p>
      <w:pPr>
        <w:spacing w:after="0" w:line="206"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194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or disposition to a third party of all or substantially all the consolidated assets of the Company and the Company’s Subsidiaries, taken as a whole, or</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5" w:name="page126"/>
    <w:bookmarkEnd w:id="125"/>
    <w:p>
      <w:pPr>
        <w:jc w:val="both"/>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receive) upon such Share Exchange Event and, prior to or at the effective time of such Share Exchange Event, the Company or the successor or purchasing Person, as the case may be, shall execute with the Trustee a supplemental indenture permitted under Section 10.01(h)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 upon conversion of the Notes in accordance with</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14.02 shall instead be deliverable in the amount and type of Reference Property that a holder of that number of shares of Common Stock would have been entitled to receive in such Share Exchange Event and (III) the Daily VWAP and the Last Reported Sale Price (including, without limitation, for purposes of ‎Article 16) shall be calculated based on the value (as determined by, or in the manner prescribed by, the Board of Directors) of a unit of Reference Property.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weighted average of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Share Exchange Event and (B) the Company shall satisfy the Conversion Obligation by paying cash to converting Holders on the second Business Day immediately following the relevant Conversion Date. The Company shall notify, in writing, the Holders, the Trustee and the Conversion Agent (if other than the Trustee) of such weighted average as soon as practicable after such determination is made.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Such supplemental indenture described in the second immediately preceding paragraph shall provide for anti-dilution and other adjustments that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shall be as nearly equivalent as is possible to the adjustments provided for in this Article‎ 14. If, in the case of any Share Exchange Event, the Reference Property includes shares of stock, securities or other property or assets (including cash or any combination thereof) of a Person other than the successor or purchasing Person, as the case may be, in such Share Exchange Event, then such supplemental indenture shall also be executed by such other Person and shall contain such additional provisions to protect the interests of the Holders of the Notes as the Board of Directors shall consider in good faith necessary by reason of the foregoing, including the provisions providing for the purchase rights set forth in ‎Article 15.</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Notes become convertible into Reference Property, the Company shall notify the Trustee in writing and issue a press release containing the relevant information, disclose the relevant information in a current report on Form 8-K or post such information on the Company’s website.</w:t>
      </w:r>
    </w:p>
    <w:p>
      <w:pPr>
        <w:spacing w:after="0" w:line="162" w:lineRule="exact"/>
        <w:rPr>
          <w:sz w:val="20"/>
          <w:szCs w:val="20"/>
          <w:color w:val="auto"/>
        </w:rPr>
      </w:pPr>
    </w:p>
    <w:p>
      <w:pPr>
        <w:jc w:val="both"/>
        <w:ind w:firstLine="656"/>
        <w:spacing w:after="0" w:line="256" w:lineRule="auto"/>
        <w:tabs>
          <w:tab w:leader="none" w:pos="9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 14.07. None of the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 provisions shall affect the right of a holder of Notes to convert its Notes, as set forth in Section‎ 14.01 and Section‎ 14.02 prior to the effective date of such Share Exchange Event.</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60" w:lineRule="exact"/>
        <w:rPr>
          <w:sz w:val="20"/>
          <w:szCs w:val="20"/>
          <w:color w:val="auto"/>
        </w:rPr>
      </w:pPr>
    </w:p>
    <w:p>
      <w:pPr>
        <w:jc w:val="both"/>
        <w:ind w:firstLine="656"/>
        <w:spacing w:after="0" w:line="261" w:lineRule="auto"/>
        <w:tabs>
          <w:tab w:leader="none" w:pos="90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use its reasonable best efforts to list and keep listed, so long as the Common Stock shall be so listed on such exchange or automated quotation system, any Common Stock issuable upon conversion of the Notes.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7" w:name="page128"/>
    <w:bookmarkEnd w:id="1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8" w:name="page129"/>
    <w:bookmarkEnd w:id="1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Exchange in Lieu of Conversion.</w:t>
      </w:r>
      <w:r>
        <w:rPr>
          <w:rFonts w:ascii="Times New Roman" w:cs="Times New Roman" w:eastAsia="Times New Roman" w:hAnsi="Times New Roman"/>
          <w:sz w:val="18"/>
          <w:szCs w:val="18"/>
          <w:color w:val="auto"/>
        </w:rPr>
        <w:t xml:space="preserve"> (a) When a Holder surrenders Notes for conversion, the Company may, at its election, direct the surrender of, on or prior to the Scheduled Trading Day immediately following the relevant Conversion Date, such Notes to a financial institution designated by the Company for exchange in lieu of conversion (each, an “</w:t>
      </w:r>
      <w:r>
        <w:rPr>
          <w:rFonts w:ascii="Times New Roman" w:cs="Times New Roman" w:eastAsia="Times New Roman" w:hAnsi="Times New Roman"/>
          <w:sz w:val="18"/>
          <w:szCs w:val="18"/>
          <w:b w:val="1"/>
          <w:bCs w:val="1"/>
          <w:color w:val="auto"/>
        </w:rPr>
        <w:t>Exchange in Lieu of Conversion</w:t>
      </w:r>
      <w:r>
        <w:rPr>
          <w:rFonts w:ascii="Times New Roman" w:cs="Times New Roman" w:eastAsia="Times New Roman" w:hAnsi="Times New Roman"/>
          <w:sz w:val="18"/>
          <w:szCs w:val="18"/>
          <w:color w:val="auto"/>
        </w:rPr>
        <w:t>”). In order to accept any Notes surrendered for conversion, the designated financial institution must agree to pay and/or deliver, as the case may be, in exchange for such Notes, all of the cash, shares of Common Stock or a combination thereof due upon conversion, all in accordance with ‎Section 14.02. By the close of business on the Scheduled Trading Day immediately following the relevant Conversion Date, the Company shall notify the Holder surrendering Notes for conversion, the Trustee and the Conversion Agent (if other than the Trustee) in writing that the Company has directed the designated financial institution to make an Exchange in Lieu of Conversion.</w:t>
      </w:r>
    </w:p>
    <w:p>
      <w:pPr>
        <w:spacing w:after="0" w:line="187" w:lineRule="exact"/>
        <w:rPr>
          <w:sz w:val="20"/>
          <w:szCs w:val="20"/>
          <w:color w:val="auto"/>
        </w:rPr>
      </w:pPr>
    </w:p>
    <w:p>
      <w:pPr>
        <w:jc w:val="both"/>
        <w:ind w:firstLine="656"/>
        <w:spacing w:after="0" w:line="252" w:lineRule="auto"/>
        <w:tabs>
          <w:tab w:leader="none" w:pos="9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financial institution accepts any such Notes, it shall pay and/or deliver, as the case may be, the cash, shares of Common Stock or a combination thereof due upon conversion to such Holder on the second Business Day immediately following the last VWAP Trading Day of the applicable Observation Period (or, if the Company has elected Physical Settlement, on the second Business Day immediately following the relevant Conversion Date, except that, with respect to any Conversion Date occurring after the Regular Record Date immediately preceding the Maturity Date with respect to which the Company has elected Physical Settlement, the designated financial institution shall settle any such conversion on the Maturity Date). If the designated financial institution agrees to accept any Notes for exchange but does not timely pay and/or deliver the related cash, shares of Common Stock or a combination thereof, as the case may be, or if such designated financial institution does not accept the Notes for exchange, the Company shall convert the Notes and pay and/or deliver, as the case may be, the cash, shares of Common Stock or a combination thereof due upon conversion on the second Business Day immediately following the last VWAP Trading Day of the applicable Observation Period (or, if the Company has elected Physical Settlement, on the second Business Day immediately following the relevant Conversion Date, except that, with respect to any Conversion Date occurring after the Regular Record Date immediately preceding the Maturity Date with respect to which the Company has elected Physical Settlement, the Company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settle any such conversion on the Maturity Date) in accordance with Section‎ 14.02.</w:t>
      </w:r>
    </w:p>
    <w:p>
      <w:pPr>
        <w:spacing w:after="0" w:line="206" w:lineRule="exact"/>
        <w:rPr>
          <w:rFonts w:ascii="Times New Roman" w:cs="Times New Roman" w:eastAsia="Times New Roman" w:hAnsi="Times New Roman"/>
          <w:sz w:val="18"/>
          <w:szCs w:val="18"/>
          <w:color w:val="auto"/>
        </w:rPr>
      </w:pPr>
    </w:p>
    <w:p>
      <w:pPr>
        <w:jc w:val="both"/>
        <w:ind w:firstLine="656"/>
        <w:spacing w:after="0" w:line="257" w:lineRule="auto"/>
        <w:tabs>
          <w:tab w:leader="none" w:pos="9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 financial institution to which the Notes may be submitted for exchange does not require the financial institution to accept any Notes (unless the financial institution has separately made an agreement with the Company). The Company may, but shall not be obligated to, enter into a separate agreement with any designated financial institution that would compensate the Company for any such transaction. Any</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exchanged by any designated financial institution pursuant to this Section‎ 14.12 shall remain outstanding, notwithstanding the surrender of such Notes and shall be subject to the applicable procedures of the Depositary.</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Conversion Agent and the Holders surrendering their Notes for conversion shall cooperate to cause such Notes to be delivered to the designated financial institution and the Conversion Agent shall be entitled to conclusively rely on the Company’s instructions in connection with effecting any exchange election and shall have no liability for any such exchange election outside of its control.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r>
        <w:rPr>
          <w:rFonts w:ascii="Times New Roman" w:cs="Times New Roman" w:eastAsia="Times New Roman" w:hAnsi="Times New Roman"/>
          <w:sz w:val="18"/>
          <w:szCs w:val="18"/>
          <w:color w:val="auto"/>
        </w:rPr>
        <w:t xml:space="preserve"> (a) If a Fundamental Change, other than an Exempted Fundamental Change, occurs at any time, each Holder shall have the right, at such Holder’s option, to require the Company to repurchase for cash all of such Holder’s Notes, or any portion thereof that is equal to $1,000 or an integral multiple of $1,000, on the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specified by the Company that is not less than 20 Business Days or more than 35 Business Days following the date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 The Fundamental Change Repurchase Date shall be subject to postponement in order to allow the Company to comply with applicable law.</w:t>
      </w:r>
    </w:p>
    <w:p>
      <w:pPr>
        <w:spacing w:after="0" w:line="187" w:lineRule="exact"/>
        <w:rPr>
          <w:sz w:val="20"/>
          <w:szCs w:val="20"/>
          <w:color w:val="auto"/>
        </w:rPr>
      </w:pPr>
    </w:p>
    <w:p>
      <w:pPr>
        <w:ind w:left="900" w:hanging="244"/>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660" w:firstLine="968"/>
        <w:spacing w:after="0" w:line="262" w:lineRule="auto"/>
        <w:tabs>
          <w:tab w:leader="none" w:pos="18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applicable Paying Agent by a Holder of a duly completed notice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Depositary’s procedures for surrendering interests in Global Notes, if the Notes are Global Notes, in each case on or before the close of business on the Business Day immediately preceding the Fundamental Change Repurchase Date;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0" w:name="page131"/>
    <w:bookmarkEnd w:id="130"/>
    <w:p>
      <w:pPr>
        <w:jc w:val="both"/>
        <w:ind w:left="660" w:firstLine="968"/>
        <w:spacing w:after="0" w:line="261" w:lineRule="auto"/>
        <w:tabs>
          <w:tab w:leader="none" w:pos="193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applicable Paying Agent at any time after delivery of the Fundamental Change Repurchase Notice (together with all necessary endorsements for transfer) at the Corporate Trust Office of the applicable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shall state:</w:t>
      </w:r>
    </w:p>
    <w:p>
      <w:pPr>
        <w:spacing w:after="0" w:line="225" w:lineRule="exact"/>
        <w:rPr>
          <w:sz w:val="20"/>
          <w:szCs w:val="20"/>
          <w:color w:val="auto"/>
        </w:rPr>
      </w:pPr>
    </w:p>
    <w:p>
      <w:pPr>
        <w:ind w:left="1840" w:hanging="212"/>
        <w:spacing w:after="0"/>
        <w:tabs>
          <w:tab w:leader="none" w:pos="1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in an Authorized Denomination; and</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the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Fundamental Change Repurchase Notice must comply with appropriate Depositary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applicable Paying Agent the Fundamental Change Repurchase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applicable Paying Agent in accordance with ‎Section 15.03.</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Paying Agent shall promptly notify the Company of the receipt by it of any Fundamental Change Repurchase Notice or written notice of withdrawal thereof.</w:t>
      </w:r>
    </w:p>
    <w:p>
      <w:pPr>
        <w:spacing w:after="0" w:line="162" w:lineRule="exact"/>
        <w:rPr>
          <w:sz w:val="20"/>
          <w:szCs w:val="20"/>
          <w:color w:val="auto"/>
        </w:rPr>
      </w:pPr>
    </w:p>
    <w:p>
      <w:pPr>
        <w:jc w:val="both"/>
        <w:ind w:firstLine="656"/>
        <w:spacing w:after="0" w:line="261" w:lineRule="auto"/>
        <w:tabs>
          <w:tab w:leader="none" w:pos="89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calendar day after the occurrence of the effective date of a Fundamental Change (other than an Exempted Fundamental Change), the Company shall provide to all Holders of Notes, the Trustee, the Conversion Agent (if other than the Trustee) and the applicable Paying Agent</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Paying Agent other than the Trustee or the Paying Agent for the Notes as defined in Section‎ 4.02) a written notice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Company Notice</w:t>
      </w:r>
      <w:r>
        <w:rPr>
          <w:rFonts w:ascii="Times New Roman" w:cs="Times New Roman" w:eastAsia="Times New Roman" w:hAnsi="Times New Roman"/>
          <w:sz w:val="18"/>
          <w:szCs w:val="18"/>
          <w:color w:val="auto"/>
        </w:rPr>
        <w:t>”) of the occurrence of the effective date of the Fundamental Change and of the repurchase right at the option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on the Company’s website or through such other public medium as the Company may use at that time. Each Fundamental Change Company Notice shall specify:</w:t>
      </w:r>
    </w:p>
    <w:p>
      <w:pPr>
        <w:spacing w:after="0" w:line="189"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ind w:left="1940" w:hanging="312"/>
        <w:spacing w:after="0"/>
        <w:tabs>
          <w:tab w:leader="none" w:pos="19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22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225" w:lineRule="exact"/>
        <w:rPr>
          <w:rFonts w:ascii="Times New Roman" w:cs="Times New Roman" w:eastAsia="Times New Roman" w:hAnsi="Times New Roman"/>
          <w:sz w:val="18"/>
          <w:szCs w:val="18"/>
          <w:color w:val="auto"/>
        </w:rPr>
      </w:pPr>
    </w:p>
    <w:p>
      <w:pPr>
        <w:ind w:left="660" w:right="20" w:firstLine="968"/>
        <w:spacing w:after="0" w:line="282" w:lineRule="auto"/>
        <w:tabs>
          <w:tab w:leader="none" w:pos="20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the Indenture; and</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which shall be provided at least two Business Days before such notice is to be sent (or such shorter time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76" w:lineRule="exact"/>
        <w:rPr>
          <w:sz w:val="20"/>
          <w:szCs w:val="20"/>
          <w:color w:val="auto"/>
        </w:rPr>
      </w:pPr>
    </w:p>
    <w:p>
      <w:pPr>
        <w:jc w:val="both"/>
        <w:ind w:firstLine="656"/>
        <w:spacing w:after="0" w:line="254" w:lineRule="auto"/>
        <w:tabs>
          <w:tab w:leader="none" w:pos="9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applicable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jc w:val="both"/>
        <w:ind w:firstLine="656"/>
        <w:spacing w:after="0" w:line="261" w:lineRule="auto"/>
        <w:tabs>
          <w:tab w:leader="none" w:pos="8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15, the Company shall not be required to repurchase or make an offer to repurchase Notes upon the occurrence of a Fundamental Change if a third party makes such an offer in the same manner, at the same time and otherwise in compliance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requirements set forth in this Article‎ 15, and such third party repurchases all Notes properly surrendered and not validly withdrawn upon such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in compliance with the requirements set forth in this Article‎ 15 for repurchase upon such Fundamental Change by the Company.</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87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appoint a tender agent in connection with any repurchase pursuant to this Article‎ 15, in which case such tender agent shall be the Paying Agent in connection with such repurchase.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foregoing, the Company shall not be required to send a Fundamental Change Company Notice,</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offer to repurchase or repurchase any Notes, as set forth in this Article‎ 15, in connection with a Share Exchange Event that constitutes a Fundamental Change pursuant to clause (b)(B) of the definition thereof (regardless of whether such Share Exchange Event also constitutes a Fundamental Change pursuant to any other clause of such definition), if: (i) the Reference Property of such Share Exchange Event consists entirely of cash in U.S. dollars; (ii)</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interest payable as part of the related Fundamental Change Repurchase Price); and (iii) the Company timely sends the notice relating to such Fundamental Change required pursuant to Section‎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14.01(b)(iii) and includes, in such notice, a statement that the Company is relying on this Section‎ 15.02(g). For the avoidance of doubt, the maximum</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accrued interest, if any, referred to in the foregoing clause (ii) of this Section‎ 15.02(g) will be determined (x) by assuming that the Fundamental</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Repurchase Date occurs on the latest possible date permitted for the applicable Fundamental Change pursuant to the provisions of Section‎ 15.02; and (y) without regard to the exception in the determination of the Fundamental Change Repurchase Price set forth at the end of the first sentence of</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15.02(a). Any Fundamental Change with respect to which, in accordance with the provisions of this Section‎ 15.02(g), the Company does not offer to repurchase any Notes is referred to herein as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3" w:name="page134"/>
    <w:bookmarkEnd w:id="13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by means of a written notice of withdrawal delivered to the Corporate Trust Office of the applicable Paying Agent in accordance with this ‎Section 15.03 at any time prior to the close of business on the Business Day immediately preceding the Fundamental Change Repurchase Date, specifying:</w:t>
      </w:r>
    </w:p>
    <w:p>
      <w:pPr>
        <w:spacing w:after="0" w:line="175" w:lineRule="exact"/>
        <w:rPr>
          <w:sz w:val="20"/>
          <w:szCs w:val="20"/>
          <w:color w:val="auto"/>
        </w:rPr>
      </w:pPr>
    </w:p>
    <w:p>
      <w:pPr>
        <w:ind w:left="1840" w:hanging="212"/>
        <w:spacing w:after="0"/>
        <w:tabs>
          <w:tab w:leader="none" w:pos="1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with respect to which such notice of withdrawal is being submitted,</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 of the Note in respect of which such notice of withdrawal is being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and</w:t>
      </w:r>
    </w:p>
    <w:p>
      <w:pPr>
        <w:spacing w:after="0" w:line="206" w:lineRule="exact"/>
        <w:rPr>
          <w:rFonts w:ascii="Times New Roman" w:cs="Times New Roman" w:eastAsia="Times New Roman" w:hAnsi="Times New Roman"/>
          <w:sz w:val="18"/>
          <w:szCs w:val="18"/>
          <w:color w:val="auto"/>
        </w:rPr>
      </w:pPr>
    </w:p>
    <w:p>
      <w:pPr>
        <w:ind w:left="660" w:firstLine="968"/>
        <w:spacing w:after="0" w:line="282" w:lineRule="auto"/>
        <w:tabs>
          <w:tab w:leader="none" w:pos="197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if any, of such Note that remains subject to the original Fundamental Change Repurchase Notice, which portion must be in an Authorized Denomination;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notice must comply with appropriate procedures of the Depositary.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 nominee. The Trustee or applicable Paying Agent shall, promptly after such payment and upon written demand by the Company, return to the Company any funds in excess of the Fundamental Change Repurchase Price.</w:t>
      </w:r>
    </w:p>
    <w:p>
      <w:pPr>
        <w:spacing w:after="0" w:line="187" w:lineRule="exact"/>
        <w:rPr>
          <w:sz w:val="20"/>
          <w:szCs w:val="20"/>
          <w:color w:val="auto"/>
        </w:rPr>
      </w:pPr>
    </w:p>
    <w:p>
      <w:pPr>
        <w:jc w:val="both"/>
        <w:ind w:firstLine="656"/>
        <w:spacing w:after="0" w:line="256" w:lineRule="auto"/>
        <w:tabs>
          <w:tab w:leader="none" w:pos="91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and, if applicable, accrued and unpaid interest).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4" w:name="page135"/>
    <w:bookmarkEnd w:id="134"/>
    <w:p>
      <w:pPr>
        <w:jc w:val="both"/>
        <w:ind w:right="20" w:firstLine="656"/>
        <w:spacing w:after="0" w:line="266" w:lineRule="auto"/>
        <w:tabs>
          <w:tab w:leader="none" w:pos="8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Physical Note that is to be repurchased in part pursuant to Section‎ 15.02, the Company shall execute and the Trustee shall authenticate and deliver to the Holder a new Physical Note in an Authorized Denomination equal in principal amount to the unrepurchased portion of the Physical Note surrendered.</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the Company will, if required by applicable law:</w:t>
      </w:r>
    </w:p>
    <w:p>
      <w:pPr>
        <w:spacing w:after="0" w:line="160" w:lineRule="exact"/>
        <w:rPr>
          <w:sz w:val="20"/>
          <w:szCs w:val="20"/>
          <w:color w:val="auto"/>
        </w:rPr>
      </w:pPr>
    </w:p>
    <w:p>
      <w:pPr>
        <w:ind w:left="900" w:hanging="244"/>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Rule 13e-4, Rule 14e-1 and any other tender offer rules under the Exchange Act;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federal and state securities laws in connection with any offer by the Company to repurchase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 To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extent that the provisions of any securities law or regulations enacted after the date of this Supplemental Indenture conflict with this Article‎ 15, the Company shall comply with the applicable securities laws or regulations and will not be deemed to have breached the Company’s obligations under this ‎Article 15 by virtue of such conflict.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 on or after April 20, 2029</w:t>
      </w:r>
      <w:r>
        <w:rPr>
          <w:rFonts w:ascii="Times New Roman" w:cs="Times New Roman" w:eastAsia="Times New Roman" w:hAnsi="Times New Roman"/>
          <w:sz w:val="18"/>
          <w:szCs w:val="18"/>
          <w:color w:val="auto"/>
        </w:rPr>
        <w:t>. (a) The Notes shall not be redeemable by the Company prior to April 20, 2029. On or after April 20, 2029, the Company may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(subject to the Partial Redemption Limitation), at the Redemption Price, if the Last Reported Sale Price of the Common Stock has been at least 130% of the Conversion Price then in effect for at least 20 Trading Days (whether or not consecutive), including the Trading Day immediately preceding the date on which the Company provides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Redemption Notice in accordance with Section‎ 16.02, during any 30 consecutive Trading Day period ending on, and including, the Trading Day immediately preceding the date on which the Company provides the Redemption Notice in accordance with ‎Section 16.02.</w:t>
      </w:r>
    </w:p>
    <w:p>
      <w:pPr>
        <w:spacing w:after="0" w:line="181" w:lineRule="exact"/>
        <w:rPr>
          <w:sz w:val="20"/>
          <w:szCs w:val="20"/>
          <w:color w:val="auto"/>
        </w:rPr>
      </w:pPr>
    </w:p>
    <w:p>
      <w:pPr>
        <w:jc w:val="both"/>
        <w:ind w:firstLine="656"/>
        <w:spacing w:after="0" w:line="253" w:lineRule="auto"/>
        <w:tabs>
          <w:tab w:leader="none" w:pos="9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decides to redeem fewer than all of the outstanding Notes pursuant to an Optional Redemption, then the excess of the principal amount of Notes outstanding as of the time the Company sends the related Redemption Notice over the aggregate principal amount of Notes set forth in such Redemption Notice as being subject to such Optional Redemption must be at least $50,000,000 (such requirement, the “</w:t>
      </w:r>
      <w:r>
        <w:rPr>
          <w:rFonts w:ascii="Times New Roman" w:cs="Times New Roman" w:eastAsia="Times New Roman" w:hAnsi="Times New Roman"/>
          <w:sz w:val="18"/>
          <w:szCs w:val="18"/>
          <w:b w:val="1"/>
          <w:bCs w:val="1"/>
          <w:color w:val="auto"/>
        </w:rPr>
        <w:t>Partial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Limitation</w:t>
      </w:r>
      <w:r>
        <w:rPr>
          <w:rFonts w:ascii="Times New Roman" w:cs="Times New Roman" w:eastAsia="Times New Roman" w:hAnsi="Times New Roman"/>
          <w:sz w:val="18"/>
          <w:szCs w:val="18"/>
          <w:color w:val="auto"/>
        </w:rPr>
        <w:t>”). If the Company decides to redeem fewer than all of the outstanding Notes pursuant to an Optional Redemption and the Notes to be redeemed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Global Notes, the Notes to be redeemed shall be selected by the Depositary in accordance with the applicable procedures of the Depositary. If the Company decides to redeem fewer than all of the outstanding Notes pursuant to an Optional Redemption and the Notes to be redeemed are not Global Notes then held by the Depositary, the Trustee shall select the Notes or portions thereof to be redeemed (in Authorized Denominations)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 method the Trustee considers to be fair and appropriate. If any Note selected for partial Optional Redemption is submitted for conversion in part after such selection, the portion of the Note submitted for conversion shall be deemed (so far as may be possible) to be the portion selected for such partial Optional Redemption.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5" w:name="page136"/>
    <w:bookmarkEnd w:id="1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xml:space="preserve"> (a) In case the Company exercises its Optional Redemption right to redeem all or any portion of the Notes pursuant to Section 16.01, it shall fix a date for such Optional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the Company (or, at the Company’s written request (with such request including an Officer’s Certificate requesting that the Trustee give such Redemption Notice, setting forth the information to be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stated in such Redemption Notice as provided in Section‎ 16.02(c), and stating that all conditions precedent to the delivery of such Redemption Notice have been or will be complied with) received by the Trustee at least two Business Days prior to the date of giving the Redemption Notice (or such shorter period of time as may be acceptable to the Trustee), the Trustee, 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not less than 50 nor more than 65 Scheduled Trading Days prior to the Redemption Date to the Trustee, the Conversion Agent (if other than the Trustee), the Paying Agent (if other than the Trustee) and each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 accordance with ‎Section 14.02, the Company elects to settle all conversions of Called Notes with a Conversion Date that occurs during the related Redemption Period by Physical Settlement, then the Company shall provide the Redemption Notice not less than 15 nor more than 60 calendar days before the Redemption Date to the Trustee, the Conversion Agent (if other than the Trustee), the Paying Agent (if other than the Trustee) and each Holder of Notes. The Redemption Date must be a Business Day, and the Company shall not specify a Redemption Date that falls on or after the 41st Scheduled Trading Day immediately preceding the Maturity Date.</w:t>
      </w:r>
    </w:p>
    <w:p>
      <w:pPr>
        <w:spacing w:after="0" w:line="193" w:lineRule="exact"/>
        <w:rPr>
          <w:sz w:val="20"/>
          <w:szCs w:val="20"/>
          <w:color w:val="auto"/>
        </w:rPr>
      </w:pPr>
    </w:p>
    <w:p>
      <w:pPr>
        <w:jc w:val="both"/>
        <w:ind w:firstLine="656"/>
        <w:spacing w:after="0" w:line="266" w:lineRule="auto"/>
        <w:tabs>
          <w:tab w:leader="none" w:pos="9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Notice, if delivered in the manner herein provided, shall be conclusively presumed to have been duly given, whether or not the Holder receives such notice. In any case, failure to duly give such Redemption Notice or any defect in the Redemption Notice to the Holder of any Note designated for Optional Redemption as a whole or in part shall not affect the validity of the proceedings for the Optional Redemption of any other Note.</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Notice shall specify:</w:t>
      </w:r>
    </w:p>
    <w:p>
      <w:pPr>
        <w:spacing w:after="0" w:line="22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9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 (except as provided in the parenthetical of the definition of Redemption Price);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6" w:name="page137"/>
    <w:bookmarkEnd w:id="136"/>
    <w:p>
      <w:pPr>
        <w:ind w:left="1940" w:hanging="312"/>
        <w:spacing w:after="0"/>
        <w:tabs>
          <w:tab w:leader="none" w:pos="19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1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of Called Notes may surrender their Called Notes for conversion at any time prior to the close of business on the second Scheduled Trading Day immediately preceding the Redemption Date;</w:t>
      </w:r>
    </w:p>
    <w:p>
      <w:pPr>
        <w:spacing w:after="0" w:line="161" w:lineRule="exact"/>
        <w:rPr>
          <w:rFonts w:ascii="Times New Roman" w:cs="Times New Roman" w:eastAsia="Times New Roman" w:hAnsi="Times New Roman"/>
          <w:sz w:val="18"/>
          <w:szCs w:val="18"/>
          <w:color w:val="auto"/>
        </w:rPr>
      </w:pPr>
    </w:p>
    <w:p>
      <w:pPr>
        <w:ind w:left="660" w:firstLine="968"/>
        <w:spacing w:after="0" w:line="282" w:lineRule="auto"/>
        <w:tabs>
          <w:tab w:leader="none" w:pos="19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of Called Notes must follow to convert its Called Notes and the Settlement Method and Specified Dollar Amount, if applicable;</w:t>
      </w:r>
    </w:p>
    <w:p>
      <w:pPr>
        <w:spacing w:after="0" w:line="161" w:lineRule="exact"/>
        <w:rPr>
          <w:rFonts w:ascii="Times New Roman" w:cs="Times New Roman" w:eastAsia="Times New Roman" w:hAnsi="Times New Roman"/>
          <w:sz w:val="18"/>
          <w:szCs w:val="18"/>
          <w:color w:val="auto"/>
        </w:rPr>
      </w:pPr>
    </w:p>
    <w:p>
      <w:pPr>
        <w:ind w:left="2000" w:hanging="372"/>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14.03;</w:t>
      </w:r>
    </w:p>
    <w:p>
      <w:pPr>
        <w:spacing w:after="0" w:line="206"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9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Physical Note is to be redeemed in part only, the portion of the principal amount thereof to be redeemed and on and after the Redemption Date, upon surrender of such Physical Note, a new Physical Note in principal amount equal to the unredeemed portion thereof shall be issued.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Redemption Notice shall be irrevocable. Simultaneously with providing any Redemption Notice, the Company shall issue a press release through such national newswire service as the Company then uses containing the information set forth in such Redemption Notice.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Optional Redemption</w:t>
      </w:r>
      <w:r>
        <w:rPr>
          <w:rFonts w:ascii="Times New Roman" w:cs="Times New Roman" w:eastAsia="Times New Roman" w:hAnsi="Times New Roman"/>
          <w:sz w:val="18"/>
          <w:szCs w:val="18"/>
          <w:color w:val="auto"/>
        </w:rPr>
        <w:t>. (a) If any Redemption Notice has been given in respect of the Notes in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187" w:lineRule="exact"/>
        <w:rPr>
          <w:sz w:val="20"/>
          <w:szCs w:val="20"/>
          <w:color w:val="auto"/>
        </w:rPr>
      </w:pPr>
    </w:p>
    <w:p>
      <w:pPr>
        <w:ind w:left="920" w:hanging="264"/>
        <w:spacing w:after="0"/>
        <w:tabs>
          <w:tab w:leader="none" w:pos="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open of business on the Redemption Date, the Company shall deposit with the Paying Agent or, if the Company or a Subsidiary of</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7" w:name="page138"/>
    <w:bookmarkEnd w:id="13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Optional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the Indenture, and such acceleration has not been rescinded, on or prior to the Redemption Date (except in the case of an acceleration resulting from a Default by the Company in the payment of the Redemption Price with respect to such Notes).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16.05</w:t>
      </w:r>
      <w:r>
        <w:rPr>
          <w:rFonts w:ascii="Times New Roman" w:cs="Times New Roman" w:eastAsia="Times New Roman" w:hAnsi="Times New Roman"/>
          <w:sz w:val="18"/>
          <w:szCs w:val="18"/>
          <w:i w:val="1"/>
          <w:iCs w:val="1"/>
          <w:color w:val="auto"/>
        </w:rPr>
        <w:t>. Sinking Fund.</w:t>
      </w:r>
      <w:r>
        <w:rPr>
          <w:rFonts w:ascii="Times New Roman" w:cs="Times New Roman" w:eastAsia="Times New Roman" w:hAnsi="Times New Roman"/>
          <w:sz w:val="18"/>
          <w:szCs w:val="18"/>
          <w:color w:val="auto"/>
        </w:rPr>
        <w:t xml:space="preserve"> No sinking fund is provided for the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the Indenture shall bind its successors and assigns whether so expressed or not.</w:t>
      </w:r>
    </w:p>
    <w:p>
      <w:pPr>
        <w:spacing w:after="0" w:line="15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Entity.</w:t>
      </w:r>
      <w:r>
        <w:rPr>
          <w:rFonts w:ascii="Times New Roman" w:cs="Times New Roman" w:eastAsia="Times New Roman" w:hAnsi="Times New Roman"/>
          <w:sz w:val="18"/>
          <w:szCs w:val="18"/>
          <w:color w:val="auto"/>
        </w:rPr>
        <w:t xml:space="preserve"> Any act or proceeding by any provision of the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the Indenture is required or permitted to be given or served by the Trustee or by the Holders on the Company shall be deemed to have been sufficiently given or made, for all purposes if emailed, given or served by being deposited postage prepaid by registered or certified mail in a post office letter box or sent via overnight courier addressed (until another address or email address, as applicable, is filed by the Company with the Trustee) to T1 Energy Inc., 1211 E 4th St., Austin, Texas 78702, Attention: Evan Calio, Chief Financial Officer, email: [****], with copies to Andy Munro, Chief Legal &amp; Policy Officer, email: [****], or at such other address or emails as may have been furnished in writing to the Trustee by the Company. Any notice, direction, request or demand hereunder to or upon the Trustee shall be deemed to have been sufficiently given or made, for all purposes, upon actual receipt by the Trustee at the Corporate Trust Office.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or sent via overnight courier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(and if given in such manner, will be deemed to have been given in writing).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8" w:name="page139"/>
    <w:bookmarkEnd w:id="138"/>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THE INDENTURE AND EACH NOTE, AND ANY CLAIM, CONTROVERSY OR DISPUTE ARISING UNDER OR RELATED TO THE INDENTURE AND EACH NOTE, SHALL BE GOVERNED BY, AND CONSTRUED IN ACCORDANCE WITH, THE LAWS OF THE STATE OF NEW YORK.</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the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the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the Indenture, the Company shall, if requested by the Trustee, furnish to the Trustee an Officer’s Certificate stating that such action is permitted by the terms of the Indenture.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9" w:name="page140"/>
    <w:bookmarkEnd w:id="1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Officer’s Certificate provided for, by or on behalf of the Company in the Indenture and delivered to the Trustee with respect to compliance with the Indenture (other than the Officer’s Certificates provided for in ‎Section 4.08) shall include (a) a statement that the person signing such certificate is familiar with the requested action and the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the Indenture; and (d) a statement as to whether or not, in the judgment of such person, such action is permitted by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the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Interest Payment Date, any Redemption Date, any Fundamental Change Repurchase Date or the Maturity Date is not a Business Day or is not a Valid Payment Date, then any action to be taken on such date need not be taken on such date, but may be taken on the next succeeding Business Day that is a Valid Payment Date with the same force and effect as if taken on such date, and no interest shall accrue in respect of the delay.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the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the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the Indenture.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the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w:t>
      </w: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under Section‎ 2.04, Section‎ 2.05, Section‎ 2.06, Section‎ 2.07, Section‎ 10.04 and Section‎ 15.04 as fully to all intents and purposes as though the authenticating agent had been expressly authorized by the Indenture and those Sections to authenticate and deliver Notes. For all purposes of the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0" w:name="page141"/>
    <w:bookmarkEnd w:id="1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r>
        <w:rPr>
          <w:rFonts w:ascii="Times New Roman" w:cs="Times New Roman" w:eastAsia="Times New Roman" w:hAnsi="Times New Roman"/>
          <w:sz w:val="18"/>
          <w:szCs w:val="18"/>
          <w:color w:val="auto"/>
        </w:rPr>
        <w:t xml:space="preserve">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methods shall be deemed to be their original signatures for all purposes. Unless otherwise provided in the Indenture or in any Note, the words “execute”, “execution”, “signed”, and “signature” and words of similar import used in or related to any document to be signed in connection with the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the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AND THE TRUSTEE HEREBY IRREVOCABLY WAIVES, TO THE FULLEST EXTENT PERMITTED BY APPLICABLE LAW, ANY AND ALL RIGHT TO TRIAL BY JURY IN ANY LEGAL PROCEEDING ARISING OUT OF OR RELATING TO THE INDENTURE, THE NOTES OR THE TRANSACTIONS CONTEMPLATED HEREBY.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of utilities, communications or computer (software and hardware) services, or the unavailability of the Federal Reserve Bank wire or telex or other wire or communication facility; it being understood that the Trustee shall use reasonable efforts that are consistent with accepted practices in the banking industry to resume performance as soon as practicable under the circumstances.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the Notes. These calculations include, but are not limited to, determinations of the Stock Price in connection with a Make-Whole Fundamental Change or a Redemption Notice, the Last Reported Sale Prices of the Common Stock, the Trading Price of the Notes (for purposes of ‎Section 14.01(b)(i)),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The Company shall provide the Company’s calculations to any registered Holder of Notes upon the request of that registered Holder at the sole cost and expense of the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2" w:name="page143"/>
    <w:bookmarkEnd w:id="1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the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xml:space="preserve"> All notices, approvals, consents and requests must be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digital signatures and electronic methods to submit communications to Trustee, including without limitation the risk of Trustee acting on unauthorized instructions, and the risk of interception and misuse by third parties.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17.18</w:t>
      </w:r>
      <w:r>
        <w:rPr>
          <w:rFonts w:ascii="Times New Roman" w:cs="Times New Roman" w:eastAsia="Times New Roman" w:hAnsi="Times New Roman"/>
          <w:sz w:val="18"/>
          <w:szCs w:val="18"/>
          <w:i w:val="1"/>
          <w:iCs w:val="1"/>
          <w:color w:val="auto"/>
        </w:rPr>
        <w:t>. Withholding Taxes.</w:t>
      </w:r>
      <w:r>
        <w:rPr>
          <w:rFonts w:ascii="Times New Roman" w:cs="Times New Roman" w:eastAsia="Times New Roman" w:hAnsi="Times New Roman"/>
          <w:sz w:val="18"/>
          <w:szCs w:val="18"/>
          <w:color w:val="auto"/>
        </w:rPr>
        <w:t xml:space="preserve"> If a beneficial owner of a Note is deemed to have received a distribution subject to U.S. federal income tax as a result of an adjustment or the nonoccurrence of an adjustment to the Conversion Rate, the Company or the applicable Agent may withhold any resulting applicable withholding taxes (including backup withholding) imposed in connection with a constructive distribution from interest and payments upon conversion, repurchase or maturity of the Notes, or if any withholding taxes (including backup withholding) are paid on behalf of a Holder or beneficial owner of Notes, the Company or the applicable Agent may withhold those withholding taxes from payments of cash or Common Stock, if any, payable on the Notes (or any payments on the Common Stock) or sales proceeds received by or other funds or assets of the Holder or beneficial owner of the Note.</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17.19</w:t>
      </w:r>
      <w:r>
        <w:rPr>
          <w:rFonts w:ascii="Times New Roman" w:cs="Times New Roman" w:eastAsia="Times New Roman" w:hAnsi="Times New Roman"/>
          <w:sz w:val="18"/>
          <w:szCs w:val="18"/>
          <w:i w:val="1"/>
          <w:iCs w:val="1"/>
          <w:color w:val="auto"/>
        </w:rPr>
        <w:t>. Trust Indenture Act Controls.</w:t>
      </w:r>
      <w:r>
        <w:rPr>
          <w:rFonts w:ascii="Times New Roman" w:cs="Times New Roman" w:eastAsia="Times New Roman" w:hAnsi="Times New Roman"/>
          <w:sz w:val="18"/>
          <w:szCs w:val="18"/>
          <w:color w:val="auto"/>
        </w:rPr>
        <w:t xml:space="preserve"> If and to the extent that any provision of the Indenture limits, qualifies or conflicts with the duties imposed by, or another provision included in the Indenture which is required to be included in the Indenture by any of the provisions of Sections 310 to 318, inclusive, of the Trust Indenture Act, such imposed duties or incorporated provision shall control.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as of the date first written above.</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T1 ENERGY INC.</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Evan Calio</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Steven J. Gomes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Steven J. Gomes</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3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980" w:top="796" w:right="8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T1 ENERGY INC.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5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T1 Energy Inc.</w:t>
            </w:r>
          </w:p>
        </w:tc>
        <w:tc>
          <w:tcPr>
            <w:tcW w:w="104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458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4.00% Convertible Senior Note due 2031</w:t>
            </w:r>
          </w:p>
        </w:tc>
      </w:tr>
      <w:tr>
        <w:trPr>
          <w:trHeight w:val="59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 [_____]</w:t>
            </w:r>
          </w:p>
        </w:tc>
        <w:tc>
          <w:tcPr>
            <w:tcW w:w="354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9"/>
              </w:rPr>
              <w:t>[Initially]</w:t>
            </w:r>
            <w:r>
              <w:rPr>
                <w:rFonts w:ascii="Times New Roman" w:cs="Times New Roman" w:eastAsia="Times New Roman" w:hAnsi="Times New Roman"/>
                <w:sz w:val="29"/>
                <w:szCs w:val="29"/>
                <w:color w:val="auto"/>
                <w:w w:val="99"/>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w:t>
            </w:r>
          </w:p>
        </w:tc>
      </w:tr>
      <w:tr>
        <w:trPr>
          <w:trHeight w:val="3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CUSIP No. [_______]</w:t>
            </w:r>
          </w:p>
        </w:tc>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T1 Energy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w:t>
      </w:r>
    </w:p>
    <w:p>
      <w:pPr>
        <w:spacing w:after="0" w:line="192" w:lineRule="auto"/>
        <w:rPr>
          <w:sz w:val="20"/>
          <w:szCs w:val="20"/>
          <w:color w:val="auto"/>
        </w:rPr>
      </w:pPr>
      <w:r>
        <w:rPr>
          <w:rFonts w:ascii="Times New Roman" w:cs="Times New Roman" w:eastAsia="Times New Roman" w:hAnsi="Times New Roman"/>
          <w:sz w:val="17"/>
          <w:szCs w:val="17"/>
          <w:color w:val="auto"/>
        </w:rPr>
        <w:t>CO.]</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or registered assigns, the principal sum [as set forth in the “Schedule of Exchanges of Notes” attached hereto]</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[of $[_______]]</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which</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 taken together with the principal amounts of all other outstanding Notes, shall not, unless permitted by the Indenture, exceed $184,000,000 in aggregate at any time, in accordance with the rules and procedures of the Depositary, on April 15, 2031, and interest thereon as set forth below.</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Note shall bear interest at the rate of 4.00% per year from April 17, 2026, or from the most recent date to which interest had been paid or provided for to, but excluding, the next scheduled Interest Payment Date until April 15, 2031. Interest is payable semi-annually in arrears on each April 15 and October 15, commencing on October 15, 2026, to Holders of record at the close of business on the preceding April 1 and October 1 (whether or not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day is a Business Day), respectively. Additional Interest will be payable as set forth in Section‎ 6.03 of the within-mentioned Supplemental Indenture, and any reference to interest on, or in respect of, any Note therein shall be deemed to include Additional Interest if, in such context, Additional Interest is, was or would be payable pursuant to such ‎Section 6.03, and any express mention of the payment of Additional Interest in any provision therein shall not be construed as excluding Additional Interest in those provisions thereof where such express mention is not made.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ind w:left="340" w:hanging="332"/>
        <w:spacing w:after="0" w:line="180" w:lineRule="auto"/>
        <w:tabs>
          <w:tab w:leader="none" w:pos="340" w:val="left"/>
        </w:tabs>
        <w:numPr>
          <w:ilvl w:val="0"/>
          <w:numId w:val="1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0" w:lineRule="auto"/>
        <w:tabs>
          <w:tab w:leader="none" w:pos="340" w:val="left"/>
        </w:tabs>
        <w:numPr>
          <w:ilvl w:val="0"/>
          <w:numId w:val="1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ind w:left="340" w:hanging="332"/>
        <w:spacing w:after="0" w:line="180" w:lineRule="auto"/>
        <w:tabs>
          <w:tab w:leader="none" w:pos="340" w:val="left"/>
        </w:tabs>
        <w:numPr>
          <w:ilvl w:val="0"/>
          <w:numId w:val="1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1" w:lineRule="auto"/>
        <w:tabs>
          <w:tab w:leader="none" w:pos="340" w:val="left"/>
        </w:tabs>
        <w:numPr>
          <w:ilvl w:val="0"/>
          <w:numId w:val="1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6" w:name="page147"/>
    <w:bookmarkEnd w:id="1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pay or cause a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a Paying Agent to pay the principal of any Notes (other than Notes that are Global Notes) at the office or agency designated by the Company for that purpose. The Company has initially designated the Trustee as its Paying Agent and Note Registrar in respect of the Notes and its agency in the continental United States, as a place where Notes may be presented for payment or for registration of transfer and exchange.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T1 ENERGY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5460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Convertible Senior Note due 2031</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$184,000,000 all issued or to be issued under and pursuant to an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dated as of December 16, 2025, and a second supplemental indenture (as the same may be amended from time to time,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the Base Indenture, as amended by the Supplemental Indenture, and as the same may be further amended or supplemented from time to time with respect to the Notes,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April 17, 2026, each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9" w:name="page150"/>
    <w:bookmarkEnd w:id="149"/>
    <w:p>
      <w:pPr>
        <w:ind w:firstLine="648"/>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w:t>
      </w:r>
    </w:p>
    <w:p>
      <w:pPr>
        <w:ind w:firstLine="8"/>
        <w:spacing w:after="0" w:line="260" w:lineRule="auto"/>
        <w:tabs>
          <w:tab w:leader="none" w:pos="2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due upon conversion of, this Note at the place, at the respective times, at the rate and in the lawful money or shares of Common Stock, as the case may be, herein prescribed.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Authorized Denominations.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April 20, 2029 in accordance with the terms and subject to the conditions specified in the Indenture. No sinking fund is provided for the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any Notes or portion thereof that is $1,000 or an integral multiple thereof, into cash, shares of Common Stock or a combination of cash and shares of Common Stock, as applicable, based on the Conversion Rate specified in the Indenture, as adjusted from time to time as provided in the Indenture.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right="550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Convertible Senior Notes due 2031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 Note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been made:</w:t>
            </w: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5"/>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Amount of decrease in</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 increase in</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amount of this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 authorized</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amount of this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 of this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Global Note following such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signatory of Trustee or</w:t>
            </w:r>
          </w:p>
        </w:tc>
      </w:tr>
      <w:tr>
        <w:trPr>
          <w:trHeight w:val="24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exchange</w:t>
            </w:r>
          </w:p>
        </w:tc>
        <w:tc>
          <w:tcPr>
            <w:tcW w:w="23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Global Note</w:t>
            </w: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Global Note</w:t>
            </w:r>
          </w:p>
        </w:tc>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or increase</w:t>
            </w:r>
          </w:p>
        </w:tc>
        <w:tc>
          <w:tcPr>
            <w:tcW w:w="2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Custodian</w:t>
            </w:r>
          </w:p>
        </w:tc>
      </w:tr>
      <w:tr>
        <w:trPr>
          <w:trHeight w:val="216"/>
        </w:trPr>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50"/>
        </w:trPr>
        <w:tc>
          <w:tcPr>
            <w:tcW w:w="1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ind w:left="340" w:hanging="332"/>
        <w:spacing w:after="0" w:line="184" w:lineRule="auto"/>
        <w:tabs>
          <w:tab w:leader="none" w:pos="340" w:val="left"/>
        </w:tabs>
        <w:numPr>
          <w:ilvl w:val="0"/>
          <w:numId w:val="1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5065 Wooster Road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Cincinnati, OH 45226</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T1 Energy Notes Administrator (S. Gomes)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T1 Energy Inc. 4.00% Convertible Senior Notes due 2031</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Supplemental Indenture. Any amount required to be paid to the undersigned on account of interest accompanies this Note. Capitalized terms used herein but not defined shall have the meanings ascribed to such terms in the Indenture.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_____________________</w:t>
            </w:r>
          </w:p>
        </w:tc>
        <w:tc>
          <w:tcPr>
            <w:tcW w:w="32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4"/>
                <w:szCs w:val="24"/>
                <w:color w:val="auto"/>
              </w:rPr>
            </w:pPr>
          </w:p>
        </w:tc>
        <w:tc>
          <w:tcPr>
            <w:tcW w:w="32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c>
          <w:tcPr>
            <w:tcW w:w="0" w:type="dxa"/>
            <w:vAlign w:val="bottom"/>
          </w:tcPr>
          <w:p>
            <w:pPr>
              <w:spacing w:after="0"/>
              <w:rPr>
                <w:sz w:val="1"/>
                <w:szCs w:val="1"/>
                <w:color w:val="auto"/>
              </w:rPr>
            </w:pPr>
          </w:p>
        </w:tc>
      </w:tr>
      <w:tr>
        <w:trPr>
          <w:trHeight w:val="234"/>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3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5065 Wooster Road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Cincinnati, OH 45226</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T1 Energy Notes Administrator (S. Gomes)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T1 Energy Inc. 4.00% Convertible Senior Notes due 2031</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T1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Supplemental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T1 Energy Inc. 4.00% Convertible Senior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5" w:name="page156"/>
    <w:bookmarkEnd w:id="155"/>
    <w:tbl>
      <w:tblPr>
        <w:tblLayout w:type="fixed"/>
        <w:tblInd w:w="390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9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4360" w:type="dxa"/>
            <w:vAlign w:val="bottom"/>
          </w:tcPr>
          <w:p>
            <w:pPr>
              <w:jc w:val="center"/>
              <w:ind w:right="84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2980" w:type="dxa"/>
            <w:vAlign w:val="bottom"/>
          </w:tcPr>
          <w:p>
            <w:pPr>
              <w:spacing w:after="0"/>
              <w:rPr>
                <w:sz w:val="24"/>
                <w:szCs w:val="24"/>
                <w:color w:val="auto"/>
              </w:rPr>
            </w:pPr>
          </w:p>
        </w:tc>
      </w:tr>
      <w:tr>
        <w:trPr>
          <w:trHeight w:val="216"/>
        </w:trPr>
        <w:tc>
          <w:tcPr>
            <w:tcW w:w="4360" w:type="dxa"/>
            <w:vAlign w:val="bottom"/>
          </w:tcPr>
          <w:p>
            <w:pPr>
              <w:jc w:val="center"/>
              <w:ind w:right="842"/>
              <w:spacing w:after="0"/>
              <w:rPr>
                <w:sz w:val="20"/>
                <w:szCs w:val="20"/>
                <w:color w:val="auto"/>
              </w:rPr>
            </w:pPr>
            <w:r>
              <w:rPr>
                <w:rFonts w:ascii="Times New Roman" w:cs="Times New Roman" w:eastAsia="Times New Roman" w:hAnsi="Times New Roman"/>
                <w:sz w:val="18"/>
                <w:szCs w:val="18"/>
                <w:color w:val="auto"/>
                <w:w w:val="98"/>
              </w:rPr>
              <w:t>ONE MANHATTAN WEST</w:t>
            </w:r>
          </w:p>
        </w:tc>
        <w:tc>
          <w:tcPr>
            <w:tcW w:w="2980" w:type="dxa"/>
            <w:vAlign w:val="bottom"/>
          </w:tcPr>
          <w:p>
            <w:pPr>
              <w:spacing w:after="0"/>
              <w:rPr>
                <w:sz w:val="18"/>
                <w:szCs w:val="18"/>
                <w:color w:val="auto"/>
              </w:rPr>
            </w:pPr>
          </w:p>
        </w:tc>
      </w:tr>
      <w:tr>
        <w:trPr>
          <w:trHeight w:val="234"/>
        </w:trPr>
        <w:tc>
          <w:tcPr>
            <w:tcW w:w="4360" w:type="dxa"/>
            <w:vAlign w:val="bottom"/>
          </w:tcPr>
          <w:p>
            <w:pPr>
              <w:jc w:val="center"/>
              <w:ind w:right="842"/>
              <w:spacing w:after="0"/>
              <w:rPr>
                <w:sz w:val="20"/>
                <w:szCs w:val="20"/>
                <w:color w:val="auto"/>
              </w:rPr>
            </w:pPr>
            <w:r>
              <w:rPr>
                <w:rFonts w:ascii="Times New Roman" w:cs="Times New Roman" w:eastAsia="Times New Roman" w:hAnsi="Times New Roman"/>
                <w:sz w:val="18"/>
                <w:szCs w:val="18"/>
                <w:color w:val="auto"/>
                <w:w w:val="99"/>
              </w:rPr>
              <w:t>NEW YORK, NY 10001</w:t>
            </w:r>
          </w:p>
        </w:tc>
        <w:tc>
          <w:tcPr>
            <w:tcW w:w="2980" w:type="dxa"/>
            <w:vAlign w:val="bottom"/>
          </w:tcPr>
          <w:p>
            <w:pPr>
              <w:spacing w:after="0"/>
              <w:rPr>
                <w:sz w:val="20"/>
                <w:szCs w:val="20"/>
                <w:color w:val="auto"/>
              </w:rPr>
            </w:pPr>
          </w:p>
        </w:tc>
      </w:tr>
      <w:tr>
        <w:trPr>
          <w:trHeight w:val="333"/>
        </w:trPr>
        <w:tc>
          <w:tcPr>
            <w:tcW w:w="4360" w:type="dxa"/>
            <w:vAlign w:val="bottom"/>
          </w:tcPr>
          <w:p>
            <w:pPr>
              <w:jc w:val="center"/>
              <w:ind w:right="822"/>
              <w:spacing w:after="0"/>
              <w:rPr>
                <w:sz w:val="20"/>
                <w:szCs w:val="20"/>
                <w:color w:val="auto"/>
              </w:rPr>
            </w:pPr>
            <w:r>
              <w:rPr>
                <w:rFonts w:ascii="Times New Roman" w:cs="Times New Roman" w:eastAsia="Times New Roman" w:hAnsi="Times New Roman"/>
                <w:sz w:val="13"/>
                <w:szCs w:val="13"/>
                <w:color w:val="auto"/>
                <w:w w:val="98"/>
              </w:rPr>
              <w:t>TEL: (212) 735-3000</w:t>
            </w:r>
          </w:p>
        </w:tc>
        <w:tc>
          <w:tcPr>
            <w:tcW w:w="2980" w:type="dxa"/>
            <w:vAlign w:val="bottom"/>
          </w:tcPr>
          <w:p>
            <w:pPr>
              <w:jc w:val="center"/>
              <w:ind w:left="576"/>
              <w:spacing w:after="0"/>
              <w:rPr>
                <w:sz w:val="20"/>
                <w:szCs w:val="20"/>
                <w:color w:val="auto"/>
              </w:rPr>
            </w:pPr>
            <w:r>
              <w:rPr>
                <w:rFonts w:ascii="Times New Roman" w:cs="Times New Roman" w:eastAsia="Times New Roman" w:hAnsi="Times New Roman"/>
                <w:sz w:val="13"/>
                <w:szCs w:val="13"/>
                <w:color w:val="auto"/>
                <w:w w:val="95"/>
              </w:rPr>
              <w:t>FIRM/AFFILIATE OFFICES</w:t>
            </w:r>
          </w:p>
        </w:tc>
      </w:tr>
      <w:tr>
        <w:trPr>
          <w:trHeight w:val="135"/>
        </w:trPr>
        <w:tc>
          <w:tcPr>
            <w:tcW w:w="4360" w:type="dxa"/>
            <w:vAlign w:val="bottom"/>
          </w:tcPr>
          <w:p>
            <w:pPr>
              <w:jc w:val="center"/>
              <w:ind w:right="822"/>
              <w:spacing w:after="0" w:line="135" w:lineRule="exact"/>
              <w:rPr>
                <w:sz w:val="20"/>
                <w:szCs w:val="20"/>
                <w:color w:val="auto"/>
              </w:rPr>
            </w:pPr>
            <w:r>
              <w:rPr>
                <w:rFonts w:ascii="Times New Roman" w:cs="Times New Roman" w:eastAsia="Times New Roman" w:hAnsi="Times New Roman"/>
                <w:sz w:val="13"/>
                <w:szCs w:val="13"/>
                <w:color w:val="auto"/>
                <w:w w:val="96"/>
              </w:rPr>
              <w:t>FAX: (212) 735-2000</w:t>
            </w: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6"/>
              </w:rPr>
              <w:t>-----------</w:t>
            </w:r>
          </w:p>
        </w:tc>
      </w:tr>
      <w:tr>
        <w:trPr>
          <w:trHeight w:val="135"/>
        </w:trPr>
        <w:tc>
          <w:tcPr>
            <w:tcW w:w="4360" w:type="dxa"/>
            <w:vAlign w:val="bottom"/>
          </w:tcPr>
          <w:p>
            <w:pPr>
              <w:jc w:val="center"/>
              <w:ind w:right="822"/>
              <w:spacing w:after="0" w:line="135" w:lineRule="exact"/>
              <w:rPr>
                <w:sz w:val="20"/>
                <w:szCs w:val="20"/>
                <w:color w:val="auto"/>
              </w:rPr>
            </w:pPr>
            <w:r>
              <w:rPr>
                <w:rFonts w:ascii="Times New Roman" w:cs="Times New Roman" w:eastAsia="Times New Roman" w:hAnsi="Times New Roman"/>
                <w:sz w:val="13"/>
                <w:szCs w:val="13"/>
                <w:color w:val="auto"/>
                <w:w w:val="94"/>
              </w:rPr>
              <w:t>www.skadden.com</w:t>
            </w: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6"/>
              </w:rPr>
              <w:t>BOSTON</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7"/>
              </w:rPr>
              <w:t>CHICAGO</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6"/>
              </w:rPr>
              <w:t>HOUSTON</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6"/>
              </w:rPr>
              <w:t>LOS ANGELES</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1"/>
              </w:rPr>
              <w:t>PALO ALTO</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5"/>
              </w:rPr>
              <w:t>WASHINGTON, D.C.</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5"/>
              </w:rPr>
              <w:t>WILMINGTON</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6"/>
              </w:rPr>
              <w:t>-----------</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7"/>
              </w:rPr>
              <w:t>ABU DHABI</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7"/>
              </w:rPr>
              <w:t>BEIJING</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6"/>
              </w:rPr>
              <w:t>BRUSSELS</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5"/>
              </w:rPr>
              <w:t>FRANKFURT</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6"/>
              </w:rPr>
              <w:t>HONG KONG</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8"/>
              </w:rPr>
              <w:t>LONDON</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4"/>
              </w:rPr>
              <w:t>MUNICH</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2"/>
              </w:rPr>
              <w:t>PARIS</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6"/>
              </w:rPr>
              <w:t>SÃO PAULO</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5"/>
              </w:rPr>
              <w:t>SEOUL</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76"/>
              <w:spacing w:after="0" w:line="135" w:lineRule="exact"/>
              <w:rPr>
                <w:sz w:val="20"/>
                <w:szCs w:val="20"/>
                <w:color w:val="auto"/>
              </w:rPr>
            </w:pPr>
            <w:r>
              <w:rPr>
                <w:rFonts w:ascii="Times New Roman" w:cs="Times New Roman" w:eastAsia="Times New Roman" w:hAnsi="Times New Roman"/>
                <w:sz w:val="13"/>
                <w:szCs w:val="13"/>
                <w:color w:val="auto"/>
                <w:w w:val="95"/>
              </w:rPr>
              <w:t>SINGAPORE</w:t>
            </w:r>
          </w:p>
        </w:tc>
      </w:tr>
      <w:tr>
        <w:trPr>
          <w:trHeight w:val="135"/>
        </w:trPr>
        <w:tc>
          <w:tcPr>
            <w:tcW w:w="4360" w:type="dxa"/>
            <w:vAlign w:val="bottom"/>
          </w:tcPr>
          <w:p>
            <w:pPr>
              <w:spacing w:after="0"/>
              <w:rPr>
                <w:sz w:val="11"/>
                <w:szCs w:val="11"/>
                <w:color w:val="auto"/>
              </w:rPr>
            </w:pPr>
          </w:p>
        </w:tc>
        <w:tc>
          <w:tcPr>
            <w:tcW w:w="2980" w:type="dxa"/>
            <w:vAlign w:val="bottom"/>
          </w:tcPr>
          <w:p>
            <w:pPr>
              <w:jc w:val="center"/>
              <w:ind w:left="556"/>
              <w:spacing w:after="0" w:line="135" w:lineRule="exact"/>
              <w:rPr>
                <w:sz w:val="20"/>
                <w:szCs w:val="20"/>
                <w:color w:val="auto"/>
              </w:rPr>
            </w:pPr>
            <w:r>
              <w:rPr>
                <w:rFonts w:ascii="Times New Roman" w:cs="Times New Roman" w:eastAsia="Times New Roman" w:hAnsi="Times New Roman"/>
                <w:sz w:val="13"/>
                <w:szCs w:val="13"/>
                <w:color w:val="auto"/>
                <w:w w:val="96"/>
              </w:rPr>
              <w:t>TOKYO</w:t>
            </w:r>
          </w:p>
        </w:tc>
      </w:tr>
      <w:tr>
        <w:trPr>
          <w:trHeight w:val="164"/>
        </w:trPr>
        <w:tc>
          <w:tcPr>
            <w:tcW w:w="4360" w:type="dxa"/>
            <w:vAlign w:val="bottom"/>
          </w:tcPr>
          <w:p>
            <w:pPr>
              <w:spacing w:after="0"/>
              <w:rPr>
                <w:sz w:val="14"/>
                <w:szCs w:val="14"/>
                <w:color w:val="auto"/>
              </w:rPr>
            </w:pPr>
          </w:p>
        </w:tc>
        <w:tc>
          <w:tcPr>
            <w:tcW w:w="2980" w:type="dxa"/>
            <w:vAlign w:val="bottom"/>
          </w:tcPr>
          <w:p>
            <w:pPr>
              <w:jc w:val="center"/>
              <w:ind w:left="556"/>
              <w:spacing w:after="0"/>
              <w:rPr>
                <w:sz w:val="20"/>
                <w:szCs w:val="20"/>
                <w:color w:val="auto"/>
              </w:rPr>
            </w:pPr>
            <w:r>
              <w:rPr>
                <w:rFonts w:ascii="Times New Roman" w:cs="Times New Roman" w:eastAsia="Times New Roman" w:hAnsi="Times New Roman"/>
                <w:sz w:val="13"/>
                <w:szCs w:val="13"/>
                <w:color w:val="auto"/>
                <w:w w:val="96"/>
              </w:rPr>
              <w:t>TORONTO</w:t>
            </w:r>
          </w:p>
        </w:tc>
      </w:tr>
      <w:tr>
        <w:trPr>
          <w:trHeight w:val="44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April 17, 2026</w:t>
            </w:r>
          </w:p>
        </w:tc>
        <w:tc>
          <w:tcPr>
            <w:tcW w:w="2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1211 E 4th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T1 Energy Inc. – Convertible Notes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United States counsel to T1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public offering of up to $184,000,000 aggregate principal amount of the Company’s 4.00% Convertible Senior Notes due 2031 (including up to $24,000,000 aggregate principal amount of the Notes at the Underwriters’ option to cover over-allotments)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the Indenture, dated as of December 16, 2025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U.S. Bank Trust Company, National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Second Supplemental Indenture, dated as of the date hereof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Trustee. The Notes will be convertible into cash, shares of the common stock of the Company,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a combination thereof, at the Company’s option, in accordance with, and subject to, their terms and the terms of the Indenture.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jc w:val="both"/>
        <w:ind w:firstLine="1304"/>
        <w:spacing w:after="0" w:line="258" w:lineRule="auto"/>
        <w:tabs>
          <w:tab w:leader="none" w:pos="15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S-3ASR (File No. 333-292857) of the Company relating to debt securities and other securities of the Company filed on January 21, 2026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allowing for delayed offerings pursuant to Rule 415 of the General Rules and Regulations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including the information deemed to be a part of the registration statement pursuant to Rule 430B of the Rules and Regulations (such registration statement being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January 21, 2026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which forms a part of and is included in the Registration Statement;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April 14, 2026 (together with the Base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relating to the offering of the Notes,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dated April 14, 2026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relating to the offering of the Notes,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April 14,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and Santander US Capital Markets LLC and J.P. Morgan Securities LLC, as representatives of the several Underwriters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the sale by the Company to the Underwriters of the Notes;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Base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Second Supplemental Indenture;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certificate evidencing the Notes executed by the Company and registered in the name of Cede &amp; Co.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delivered by the Company to the Trustee for authentication and delivery;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Andrew Munro, Chief Legal and Policy Officer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Certificate of Incorporation of the Company, as amended, certified by the Secretary of State of the State of Delaware as of April 14, 2026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certified pursuant to the Secretary’s Certificate as being in effect on the date of the resolutions referred to below and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315" w:lineRule="exact"/>
        <w:rPr>
          <w:sz w:val="20"/>
          <w:szCs w:val="20"/>
          <w:color w:val="auto"/>
        </w:rPr>
      </w:pPr>
    </w:p>
    <w:p>
      <w:pPr>
        <w:jc w:val="both"/>
        <w:ind w:firstLine="1304"/>
        <w:spacing w:after="0" w:line="266" w:lineRule="auto"/>
        <w:tabs>
          <w:tab w:leader="none" w:pos="15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Second Amended and Restated Bylaws, certified pursuant to the Secretary’s Certificate as being in effect on December 1, 2025, and Third Amended and Restated Bylaws, certified pursuant to the Secretary’s Certificate as being in effect on and since December 4, 2025 and as of the date hereof;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certain resolutions of the Board of Directors of the Company, adopted on December 1, 2025, December 28, 2025 and March 26, 2026 and certain resolutions of the Financing Transaction Committee thereof, adopted on April 14, 2026, in each case certified pursuant to the Secretary’s Certificate.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Certificate of Incorporation and the factual representations and warranties contained in the Underwriting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(i) the laws of the State of New York and (ii)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(all of the foregoing being referred to as “</w:t>
      </w:r>
      <w:r>
        <w:rPr>
          <w:rFonts w:ascii="Times New Roman" w:cs="Times New Roman" w:eastAsia="Times New Roman" w:hAnsi="Times New Roman"/>
          <w:sz w:val="18"/>
          <w:szCs w:val="18"/>
          <w:u w:val="single" w:color="auto"/>
          <w:color w:val="auto"/>
        </w:rPr>
        <w:t>Opined-on Law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Underwriting Agreement, the Indenture and the Note Certificates and (b) “</w:t>
      </w:r>
      <w:r>
        <w:rPr>
          <w:rFonts w:ascii="Times New Roman" w:cs="Times New Roman" w:eastAsia="Times New Roman" w:hAnsi="Times New Roman"/>
          <w:sz w:val="18"/>
          <w:szCs w:val="18"/>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means those documents listed in paragraphs (j) and (k)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jc w:val="both"/>
        <w:ind w:firstLine="656"/>
        <w:spacing w:after="0" w:line="261" w:lineRule="auto"/>
        <w:tabs>
          <w:tab w:leader="none" w:pos="83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Certificate has been duly authorized by all requisite corporate action on the part of the Company and duly executed by the Company under the DGCL, and when duly authenticated by the Trustee and issued and delivered by the Company against payment therefor in accordance with the terms of the Underwriting Agreement and the Indenture, the Note Certificate will constitute a valid and binding obligation of the Company, enforceable against the Company in accordance with its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315" w:lineRule="exact"/>
        <w:rPr>
          <w:sz w:val="20"/>
          <w:szCs w:val="20"/>
          <w:color w:val="auto"/>
        </w:rPr>
      </w:pPr>
    </w:p>
    <w:p>
      <w:pPr>
        <w:jc w:val="both"/>
        <w:ind w:firstLine="656"/>
        <w:spacing w:after="0" w:line="266" w:lineRule="auto"/>
        <w:tabs>
          <w:tab w:leader="none" w:pos="83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 to 37,860,079 shares of Common Stock of the Company initially issuable upon conversion of the Notes pursuant to the Indenture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have been duly authorized by all requisite corporate action on the part of the Company under the DGCL and, when issued upon conversion of the Notes in accordance with the terms of the Indenture, will be validly issued, fully paid and nonassessable.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stated herein are subject to the following assumptions and qualifications:</w:t>
      </w:r>
    </w:p>
    <w:p>
      <w:pPr>
        <w:spacing w:after="0" w:line="225" w:lineRule="exact"/>
        <w:rPr>
          <w:sz w:val="20"/>
          <w:szCs w:val="20"/>
          <w:color w:val="auto"/>
        </w:rPr>
      </w:pPr>
    </w:p>
    <w:p>
      <w:pPr>
        <w:jc w:val="both"/>
        <w:ind w:firstLine="1304"/>
        <w:spacing w:after="0" w:line="261" w:lineRule="auto"/>
        <w:tabs>
          <w:tab w:leader="none" w:pos="155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or has the effect of, waiving or altering any statute of limitations;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315" w:lineRule="exact"/>
        <w:rPr>
          <w:sz w:val="20"/>
          <w:szCs w:val="20"/>
          <w:color w:val="auto"/>
        </w:rPr>
      </w:pPr>
    </w:p>
    <w:p>
      <w:pPr>
        <w:jc w:val="both"/>
        <w:ind w:firstLine="1304"/>
        <w:spacing w:after="0" w:line="261" w:lineRule="auto"/>
        <w:tabs>
          <w:tab w:leader="none" w:pos="153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stated herein are limited to the agreements and documents specifically identified in the opinions contained herein (the “</w:t>
      </w:r>
      <w:r>
        <w:rPr>
          <w:rFonts w:ascii="Times New Roman" w:cs="Times New Roman" w:eastAsia="Times New Roman" w:hAnsi="Times New Roman"/>
          <w:sz w:val="18"/>
          <w:szCs w:val="18"/>
          <w:u w:val="single" w:color="auto"/>
          <w:color w:val="auto"/>
        </w:rPr>
        <w:t>Specified Documents</w:t>
      </w:r>
      <w:r>
        <w:rPr>
          <w:rFonts w:ascii="Times New Roman" w:cs="Times New Roman" w:eastAsia="Times New Roman" w:hAnsi="Times New Roman"/>
          <w:sz w:val="18"/>
          <w:szCs w:val="18"/>
          <w:color w:val="auto"/>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Section 16.11 of the Indenture to the extent that such section purports to bind the Company to the exclusive jurisdiction of any particular federal court or courts;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w:t>
      </w:r>
    </w:p>
    <w:p>
      <w:pPr>
        <w:ind w:left="220" w:hanging="212"/>
        <w:spacing w:after="0"/>
        <w:tabs>
          <w:tab w:leader="none" w:pos="2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exceptions and limitations in New York General Obligations Law Sections 5-1401 and 5-1402 and (ii) principles of comity and constitutionality;</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issuance of the Conversion Shares does not and will not (i) except to the extent expressly stated in the opinions contained herein,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315" w:lineRule="exact"/>
        <w:rPr>
          <w:sz w:val="20"/>
          <w:szCs w:val="20"/>
          <w:color w:val="auto"/>
        </w:rPr>
      </w:pPr>
    </w:p>
    <w:p>
      <w:pPr>
        <w:ind w:firstLine="1304"/>
        <w:spacing w:after="0" w:line="282" w:lineRule="auto"/>
        <w:tabs>
          <w:tab w:leader="none" w:pos="15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capital stock is as set forth in the Certificate of Incorporation, and we have relied solely on the certified copy thereof issued by the Secretary of State of the State of Delaware and have not made any other inquiries or investigations;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opinion set forth in paragraph 2 above, we have assumed that the Conversion Price (as defined in the Indenture) will be at least equal to the par value of the Conversion Shares at the time of conversion.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also assumed that, at all applicable times:</w:t>
      </w:r>
    </w:p>
    <w:p>
      <w:pPr>
        <w:spacing w:after="0" w:line="225" w:lineRule="exact"/>
        <w:rPr>
          <w:sz w:val="20"/>
          <w:szCs w:val="20"/>
          <w:color w:val="auto"/>
        </w:rPr>
      </w:pPr>
    </w:p>
    <w:p>
      <w:pPr>
        <w:jc w:val="both"/>
        <w:ind w:firstLine="1304"/>
        <w:spacing w:after="0" w:line="254" w:lineRule="auto"/>
        <w:tabs>
          <w:tab w:leader="none" w:pos="157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(i) conflicted or will conflict with the Organizational Documents, (ii) constituted or will constitute a violation of, or a default under, any lease, indenture, agreement or other instrument to which the Company or its property is subject (except that we do not make the assumption set forth in this clause (ii) with respect to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(iii) contravened or will contravene any order or decree of any governmental authority to which the Company or its properties is subject or (iv) violated or will violate any law, rule or regulation to which the Company or its properties is subject (except that we do not make the assumption set forth in this clause (iv) with respect to the Opined-on Law);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 transactions of this type.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1)"/>
      <w:numFmt w:val="lowerRoman"/>
      <w:start w:val="2"/>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1"/>
    </w:lvl>
    <w:lvl w:ilvl="1">
      <w:lvlJc w:val="left"/>
      <w:lvlText w:val="(%2)"/>
      <w:numFmt w:val="lowerLetter"/>
      <w:start w:val="1"/>
    </w:lvl>
  </w:abstractNum>
  <w:abstractNum w:abstractNumId="4">
    <w:nsid w:val="42963E5A"/>
    <w:multiLevelType w:val="hybridMultilevel"/>
    <w:lvl w:ilvl="0">
      <w:lvlJc w:val="left"/>
      <w:lvlText w:val="(%1)"/>
      <w:numFmt w:val="lowerLetter"/>
      <w:start w:val="2"/>
    </w:lvl>
  </w:abstractNum>
  <w:abstractNum w:abstractNumId="5">
    <w:nsid w:val="A0382C5"/>
    <w:multiLevelType w:val="hybridMultilevel"/>
    <w:lvl w:ilvl="0">
      <w:lvlJc w:val="left"/>
      <w:lvlText w:val="(%1)"/>
      <w:numFmt w:val="lowerLetter"/>
      <w:start w:val="3"/>
    </w:lvl>
  </w:abstractNum>
  <w:abstractNum w:abstractNumId="6">
    <w:nsid w:val="8F2B15E"/>
    <w:multiLevelType w:val="hybridMultilevel"/>
    <w:lvl w:ilvl="0">
      <w:lvlJc w:val="left"/>
      <w:lvlText w:val="(%1)"/>
      <w:numFmt w:val="lowerRoman"/>
      <w:start w:val="2"/>
    </w:lvl>
  </w:abstractNum>
  <w:abstractNum w:abstractNumId="7">
    <w:nsid w:val="1A32234B"/>
    <w:multiLevelType w:val="hybridMultilevel"/>
    <w:lvl w:ilvl="0">
      <w:lvlJc w:val="left"/>
      <w:lvlText w:val="(%1)"/>
      <w:numFmt w:val="lowerLetter"/>
      <w:start w:val="4"/>
    </w:lvl>
  </w:abstractNum>
  <w:abstractNum w:abstractNumId="8">
    <w:nsid w:val="3B0FD379"/>
    <w:multiLevelType w:val="hybridMultilevel"/>
    <w:lvl w:ilvl="0">
      <w:lvlJc w:val="left"/>
      <w:lvlText w:val="(%1)"/>
      <w:numFmt w:val="lowerLetter"/>
      <w:start w:val="8"/>
    </w:lvl>
  </w:abstractNum>
  <w:abstractNum w:abstractNumId="9">
    <w:nsid w:val="68EB2F63"/>
    <w:multiLevelType w:val="hybridMultilevel"/>
    <w:lvl w:ilvl="0">
      <w:lvlJc w:val="left"/>
      <w:lvlText w:val="(%1)"/>
      <w:numFmt w:val="lowerLetter"/>
      <w:start w:val="11"/>
    </w:lvl>
  </w:abstractNum>
  <w:abstractNum w:abstractNumId="10">
    <w:nsid w:val="4962813B"/>
    <w:multiLevelType w:val="hybridMultilevel"/>
    <w:lvl w:ilvl="0">
      <w:lvlJc w:val="left"/>
      <w:lvlText w:val="(%1)"/>
      <w:numFmt w:val="lowerLetter"/>
      <w:start w:val="15"/>
    </w:lvl>
  </w:abstractNum>
  <w:abstractNum w:abstractNumId="11">
    <w:nsid w:val="60B6DF70"/>
    <w:multiLevelType w:val="hybridMultilevel"/>
    <w:lvl w:ilvl="0">
      <w:lvlJc w:val="left"/>
      <w:lvlText w:val="(%1)"/>
      <w:numFmt w:val="lowerLetter"/>
      <w:start w:val="20"/>
    </w:lvl>
  </w:abstractNum>
  <w:abstractNum w:abstractNumId="12">
    <w:nsid w:val="6A5EE64"/>
    <w:multiLevelType w:val="hybridMultilevel"/>
    <w:lvl w:ilvl="0">
      <w:lvlJc w:val="left"/>
      <w:lvlText w:val="%1"/>
      <w:numFmt w:val="lowerRoman"/>
      <w:start w:val="1"/>
    </w:lvl>
    <w:lvl w:ilvl="1">
      <w:lvlJc w:val="left"/>
      <w:lvlText w:val="(%2)"/>
      <w:numFmt w:val="lowerLetter"/>
      <w:start w:val="22"/>
    </w:lvl>
  </w:abstractNum>
  <w:abstractNum w:abstractNumId="13">
    <w:nsid w:val="14330624"/>
    <w:multiLevelType w:val="hybridMultilevel"/>
    <w:lvl w:ilvl="0">
      <w:lvlJc w:val="left"/>
      <w:lvlText w:val="(%1)"/>
      <w:numFmt w:val="lowerRoman"/>
      <w:start w:val="4"/>
    </w:lvl>
    <w:lvl w:ilvl="1">
      <w:lvlJc w:val="left"/>
      <w:lvlText w:val="(%2)"/>
      <w:numFmt w:val="lowerLetter"/>
      <w:start w:val="27"/>
    </w:lvl>
  </w:abstractNum>
  <w:abstractNum w:abstractNumId="14">
    <w:nsid w:val="7FFFCA11"/>
    <w:multiLevelType w:val="hybridMultilevel"/>
    <w:lvl w:ilvl="0">
      <w:lvlJc w:val="left"/>
      <w:lvlText w:val="(%1)"/>
      <w:numFmt w:val="lowerLetter"/>
      <w:start w:val="28"/>
    </w:lvl>
  </w:abstractNum>
  <w:abstractNum w:abstractNumId="15">
    <w:nsid w:val="1A27709E"/>
    <w:multiLevelType w:val="hybridMultilevel"/>
    <w:lvl w:ilvl="0">
      <w:lvlJc w:val="left"/>
      <w:lvlText w:val="(%1)"/>
      <w:numFmt w:val="lowerLetter"/>
      <w:start w:val="33"/>
    </w:lvl>
  </w:abstractNum>
  <w:abstractNum w:abstractNumId="16">
    <w:nsid w:val="71EA1109"/>
    <w:multiLevelType w:val="hybridMultilevel"/>
    <w:lvl w:ilvl="0">
      <w:lvlJc w:val="left"/>
      <w:lvlText w:val="(%1)"/>
      <w:numFmt w:val="lowerLetter"/>
      <w:start w:val="38"/>
    </w:lvl>
  </w:abstractNum>
  <w:abstractNum w:abstractNumId="17">
    <w:nsid w:val="100F59DC"/>
    <w:multiLevelType w:val="hybridMultilevel"/>
    <w:lvl w:ilvl="0">
      <w:lvlJc w:val="left"/>
      <w:lvlText w:val="(%1)"/>
      <w:numFmt w:val="lowerLetter"/>
      <w:start w:val="41"/>
    </w:lvl>
  </w:abstractNum>
  <w:abstractNum w:abstractNumId="18">
    <w:nsid w:val="7FB7E0AA"/>
    <w:multiLevelType w:val="hybridMultilevel"/>
    <w:lvl w:ilvl="0">
      <w:lvlJc w:val="left"/>
      <w:lvlText w:val="%1."/>
      <w:numFmt w:val="decimal"/>
      <w:start w:val="3"/>
    </w:lvl>
  </w:abstractNum>
  <w:abstractNum w:abstractNumId="19">
    <w:nsid w:val="6EB5BD4"/>
    <w:multiLevelType w:val="hybridMultilevel"/>
    <w:lvl w:ilvl="0">
      <w:lvlJc w:val="left"/>
      <w:lvlText w:val="%1."/>
      <w:numFmt w:val="decimal"/>
      <w:start w:val="4"/>
    </w:lvl>
    <w:lvl w:ilvl="1">
      <w:lvlJc w:val="left"/>
      <w:lvlText w:val="(%2)"/>
      <w:numFmt w:val="lowerLetter"/>
      <w:start w:val="1"/>
    </w:lvl>
  </w:abstractNum>
  <w:abstractNum w:abstractNumId="20">
    <w:nsid w:val="6F6DD9AC"/>
    <w:multiLevelType w:val="hybridMultilevel"/>
    <w:lvl w:ilvl="0">
      <w:lvlJc w:val="left"/>
      <w:lvlText w:val="(%1)"/>
      <w:numFmt w:val="lowerLetter"/>
      <w:start w:val="2"/>
    </w:lvl>
  </w:abstractNum>
  <w:abstractNum w:abstractNumId="21">
    <w:nsid w:val="94211F2"/>
    <w:multiLevelType w:val="hybridMultilevel"/>
    <w:lvl w:ilvl="0">
      <w:lvlJc w:val="left"/>
      <w:lvlText w:val="(%1)"/>
      <w:numFmt w:val="lowerLetter"/>
      <w:start w:val="7"/>
    </w:lvl>
  </w:abstractNum>
  <w:abstractNum w:abstractNumId="22">
    <w:nsid w:val="885E1B"/>
    <w:multiLevelType w:val="hybridMultilevel"/>
    <w:lvl w:ilvl="0">
      <w:lvlJc w:val="left"/>
      <w:lvlText w:val="(%1)"/>
      <w:numFmt w:val="lowerLetter"/>
      <w:start w:val="12"/>
    </w:lvl>
  </w:abstractNum>
  <w:abstractNum w:abstractNumId="23">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abstractNum>
  <w:abstractNum w:abstractNumId="24">
    <w:nsid w:val="4C04A8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5">
    <w:nsid w:val="1716703B"/>
    <w:multiLevelType w:val="hybridMultilevel"/>
    <w:lvl w:ilvl="0">
      <w:lvlJc w:val="left"/>
      <w:lvlText w:val="(%1)"/>
      <w:numFmt w:val="lowerLetter"/>
      <w:start w:val="4"/>
    </w:lvl>
  </w:abstractNum>
  <w:abstractNum w:abstractNumId="26">
    <w:nsid w:val="14E17E33"/>
    <w:multiLevelType w:val="hybridMultilevel"/>
    <w:lvl w:ilvl="0">
      <w:lvlJc w:val="left"/>
      <w:lvlText w:val="%1."/>
      <w:numFmt w:val="decimal"/>
      <w:start w:val="8"/>
    </w:lvl>
  </w:abstractNum>
  <w:abstractNum w:abstractNumId="27">
    <w:nsid w:val="3222E7CD"/>
    <w:multiLevelType w:val="hybridMultilevel"/>
    <w:lvl w:ilvl="0">
      <w:lvlJc w:val="left"/>
      <w:lvlText w:val="(%1)"/>
      <w:numFmt w:val="lowerLetter"/>
      <w:start w:val="2"/>
    </w:lvl>
  </w:abstractNum>
  <w:abstractNum w:abstractNumId="28">
    <w:nsid w:val="74DE0EE3"/>
    <w:multiLevelType w:val="hybridMultilevel"/>
    <w:lvl w:ilvl="0">
      <w:lvlJc w:val="left"/>
      <w:lvlText w:val="(%1)"/>
      <w:numFmt w:val="lowerLetter"/>
      <w:start w:val="3"/>
    </w:lvl>
  </w:abstractNum>
  <w:abstractNum w:abstractNumId="29">
    <w:nsid w:val="68EBC550"/>
    <w:multiLevelType w:val="hybridMultilevel"/>
    <w:lvl w:ilvl="0">
      <w:lvlJc w:val="left"/>
      <w:lvlText w:val="%1."/>
      <w:numFmt w:val="decimal"/>
      <w:start w:val="9"/>
    </w:lvl>
  </w:abstractNum>
  <w:abstractNum w:abstractNumId="30">
    <w:nsid w:val="2DF6D648"/>
    <w:multiLevelType w:val="hybridMultilevel"/>
    <w:lvl w:ilvl="0">
      <w:lvlJc w:val="left"/>
      <w:lvlText w:val="%1."/>
      <w:numFmt w:val="decimal"/>
      <w:start w:val="13"/>
    </w:lvl>
  </w:abstractNum>
  <w:abstractNum w:abstractNumId="31">
    <w:nsid w:val="46B7D447"/>
    <w:multiLevelType w:val="hybridMultilevel"/>
    <w:lvl w:ilvl="0">
      <w:lvlJc w:val="left"/>
      <w:lvlText w:val="(%1)"/>
      <w:numFmt w:val="lowerLetter"/>
      <w:start w:val="1"/>
    </w:lvl>
  </w:abstractNum>
  <w:abstractNum w:abstractNumId="32">
    <w:nsid w:val="4A2AC315"/>
    <w:multiLevelType w:val="hybridMultilevel"/>
    <w:lvl w:ilvl="0">
      <w:lvlJc w:val="left"/>
      <w:lvlText w:val="(%1)"/>
      <w:numFmt w:val="lowerLetter"/>
      <w:start w:val="5"/>
    </w:lvl>
  </w:abstractNum>
  <w:abstractNum w:abstractNumId="33">
    <w:nsid w:val="39EE015C"/>
    <w:multiLevelType w:val="hybridMultilevel"/>
    <w:lvl w:ilvl="0">
      <w:lvlJc w:val="left"/>
      <w:lvlText w:val="%1."/>
      <w:numFmt w:val="decimal"/>
      <w:start w:val="17"/>
    </w:lvl>
  </w:abstractNum>
  <w:abstractNum w:abstractNumId="34">
    <w:nsid w:val="57FC4FBB"/>
    <w:multiLevelType w:val="hybridMultilevel"/>
    <w:lvl w:ilvl="0">
      <w:lvlJc w:val="left"/>
      <w:lvlText w:val="%1."/>
      <w:numFmt w:val="decimal"/>
      <w:start w:val="18"/>
    </w:lvl>
    <w:lvl w:ilvl="1">
      <w:lvlJc w:val="left"/>
      <w:lvlText w:val="(%2)"/>
      <w:numFmt w:val="lowerRoman"/>
      <w:start w:val="1"/>
    </w:lvl>
  </w:abstractNum>
  <w:abstractNum w:abstractNumId="35">
    <w:nsid w:val="CC1016F"/>
    <w:multiLevelType w:val="hybridMultilevel"/>
    <w:lvl w:ilvl="0">
      <w:lvlJc w:val="left"/>
      <w:lvlText w:val="(%1)"/>
      <w:numFmt w:val="lowerRoman"/>
      <w:start w:val="1"/>
    </w:lvl>
  </w:abstractNum>
  <w:abstractNum w:abstractNumId="36">
    <w:nsid w:val="43F18422"/>
    <w:multiLevelType w:val="hybridMultilevel"/>
    <w:lvl w:ilvl="0">
      <w:lvlJc w:val="left"/>
      <w:lvlText w:val="(%1)"/>
      <w:numFmt w:val="lowerRoman"/>
      <w:start w:val="2"/>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1)"/>
      <w:numFmt w:val="lowerRoman"/>
      <w:start w:val="2"/>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1)"/>
      <w:numFmt w:val="lowerLetter"/>
      <w:start w:val="1"/>
    </w:lvl>
    <w:lvl w:ilvl="1">
      <w:lvlJc w:val="left"/>
      <w:lvlText w:val="%2."/>
      <w:numFmt w:val="lowerRoman"/>
      <w:start w:val="1"/>
    </w:lvl>
  </w:abstractNum>
  <w:abstractNum w:abstractNumId="42">
    <w:nsid w:val="5FB8370B"/>
    <w:multiLevelType w:val="hybridMultilevel"/>
    <w:lvl w:ilvl="0">
      <w:lvlJc w:val="left"/>
      <w:lvlText w:val="%1."/>
      <w:numFmt w:val="lowerRoman"/>
      <w:start w:val="7"/>
    </w:lvl>
  </w:abstractNum>
  <w:abstractNum w:abstractNumId="43">
    <w:nsid w:val="50801EE1"/>
    <w:multiLevelType w:val="hybridMultilevel"/>
    <w:lvl w:ilvl="0">
      <w:lvlJc w:val="left"/>
      <w:lvlText w:val="(%1)"/>
      <w:numFmt w:val="lowerLetter"/>
      <w:start w:val="2"/>
    </w:lvl>
  </w:abstractNum>
  <w:abstractNum w:abstractNumId="44">
    <w:nsid w:val="488AC1A"/>
    <w:multiLevelType w:val="hybridMultilevel"/>
    <w:lvl w:ilvl="0">
      <w:lvlJc w:val="left"/>
      <w:lvlText w:val="1"/>
      <w:numFmt w:val="bullet"/>
      <w:start w:val="1"/>
    </w:lvl>
  </w:abstractNum>
  <w:abstractNum w:abstractNumId="45">
    <w:nsid w:val="5FB8011C"/>
    <w:multiLevelType w:val="hybridMultilevel"/>
    <w:lvl w:ilvl="0">
      <w:lvlJc w:val="left"/>
      <w:lvlText w:val="(%1)"/>
      <w:numFmt w:val="lowerLetter"/>
      <w:start w:val="1"/>
    </w:lvl>
  </w:abstractNum>
  <w:abstractNum w:abstractNumId="46">
    <w:nsid w:val="6AA78F7F"/>
    <w:multiLevelType w:val="hybridMultilevel"/>
    <w:lvl w:ilvl="0">
      <w:lvlJc w:val="left"/>
      <w:lvlText w:val="(%1)"/>
      <w:numFmt w:val="lowerLetter"/>
      <w:start w:val="1"/>
    </w:lvl>
  </w:abstractNum>
  <w:abstractNum w:abstractNumId="47">
    <w:nsid w:val="7672BD23"/>
    <w:multiLevelType w:val="hybridMultilevel"/>
    <w:lvl w:ilvl="0">
      <w:lvlJc w:val="left"/>
      <w:lvlText w:val="(%1)"/>
      <w:numFmt w:val="lowerLetter"/>
      <w:start w:val="3"/>
    </w:lvl>
  </w:abstractNum>
  <w:abstractNum w:abstractNumId="48">
    <w:nsid w:val="6FC75AF8"/>
    <w:multiLevelType w:val="hybridMultilevel"/>
    <w:lvl w:ilvl="0">
      <w:lvlJc w:val="left"/>
      <w:lvlText w:val="(%1)"/>
      <w:numFmt w:val="lowerRoman"/>
      <w:start w:val="10"/>
    </w:lvl>
  </w:abstractNum>
  <w:abstractNum w:abstractNumId="49">
    <w:nsid w:val="6A5F7029"/>
    <w:multiLevelType w:val="hybridMultilevel"/>
    <w:lvl w:ilvl="0">
      <w:lvlJc w:val="left"/>
      <w:lvlText w:val="(%1)"/>
      <w:numFmt w:val="lowerLetter"/>
      <w:start w:val="1"/>
    </w:lvl>
  </w:abstractNum>
  <w:abstractNum w:abstractNumId="50">
    <w:nsid w:val="7D5E18F8"/>
    <w:multiLevelType w:val="hybridMultilevel"/>
    <w:lvl w:ilvl="0">
      <w:lvlJc w:val="left"/>
      <w:lvlText w:val="(%1)"/>
      <w:numFmt w:val="lowerRoman"/>
      <w:start w:val="1"/>
    </w:lvl>
  </w:abstractNum>
  <w:abstractNum w:abstractNumId="51">
    <w:nsid w:val="5F3534A4"/>
    <w:multiLevelType w:val="hybridMultilevel"/>
    <w:lvl w:ilvl="0">
      <w:lvlJc w:val="left"/>
      <w:lvlText w:val="(%1)"/>
      <w:numFmt w:val="lowerLetter"/>
      <w:start w:val="2"/>
    </w:lvl>
    <w:lvl w:ilvl="1">
      <w:lvlJc w:val="left"/>
      <w:lvlText w:val="(%2)"/>
      <w:numFmt w:val="lowerRoman"/>
      <w:start w:val="1"/>
    </w:lvl>
  </w:abstractNum>
  <w:abstractNum w:abstractNumId="52">
    <w:nsid w:val="73A1821B"/>
    <w:multiLevelType w:val="hybridMultilevel"/>
    <w:lvl w:ilvl="0">
      <w:lvlJc w:val="left"/>
      <w:lvlText w:val="(%1)"/>
      <w:numFmt w:val="lowerRoman"/>
      <w:start w:val="5"/>
    </w:lvl>
  </w:abstractNum>
  <w:abstractNum w:abstractNumId="53">
    <w:nsid w:val="7DE67713"/>
    <w:multiLevelType w:val="hybridMultilevel"/>
    <w:lvl w:ilvl="0">
      <w:lvlJc w:val="left"/>
      <w:lvlText w:val="(%1)"/>
      <w:numFmt w:val="lowerRoman"/>
      <w:start w:val="20"/>
    </w:lvl>
  </w:abstractNum>
  <w:abstractNum w:abstractNumId="54">
    <w:nsid w:val="555C55B5"/>
    <w:multiLevelType w:val="hybridMultilevel"/>
    <w:lvl w:ilvl="0">
      <w:lvlJc w:val="left"/>
      <w:lvlText w:val="(%1)"/>
      <w:numFmt w:val="lowerRoman"/>
      <w:start w:val="29"/>
    </w:lvl>
  </w:abstractNum>
  <w:abstractNum w:abstractNumId="55">
    <w:nsid w:val="3FA62ACA"/>
    <w:multiLevelType w:val="hybridMultilevel"/>
    <w:lvl w:ilvl="0">
      <w:lvlJc w:val="left"/>
      <w:lvlText w:val="(%1)"/>
      <w:numFmt w:val="lowerRoman"/>
      <w:start w:val="35"/>
    </w:lvl>
  </w:abstractNum>
  <w:abstractNum w:abstractNumId="56">
    <w:nsid w:val="14FCE74E"/>
    <w:multiLevelType w:val="hybridMultilevel"/>
    <w:lvl w:ilvl="0">
      <w:lvlJc w:val="left"/>
      <w:lvlText w:val="(%1)"/>
      <w:numFmt w:val="lowerRoman"/>
      <w:start w:val="38"/>
    </w:lvl>
  </w:abstractNum>
  <w:abstractNum w:abstractNumId="57">
    <w:nsid w:val="6A3DD3E8"/>
    <w:multiLevelType w:val="hybridMultilevel"/>
    <w:lvl w:ilvl="0">
      <w:lvlJc w:val="left"/>
      <w:lvlText w:val="(%1)"/>
      <w:numFmt w:val="lowerLetter"/>
      <w:start w:val="2"/>
    </w:lvl>
    <w:lvl w:ilvl="1">
      <w:lvlJc w:val="left"/>
      <w:lvlText w:val="(%2)"/>
      <w:numFmt w:val="lowerLetter"/>
      <w:start w:val="9"/>
    </w:lvl>
  </w:abstractNum>
  <w:abstractNum w:abstractNumId="58">
    <w:nsid w:val="71C91298"/>
    <w:multiLevelType w:val="hybridMultilevel"/>
    <w:lvl w:ilvl="0">
      <w:lvlJc w:val="left"/>
      <w:lvlText w:val="(%1)"/>
      <w:numFmt w:val="lowerRoman"/>
      <w:start w:val="2"/>
    </w:lvl>
  </w:abstractNum>
  <w:abstractNum w:abstractNumId="59">
    <w:nsid w:val="9DAF632"/>
    <w:multiLevelType w:val="hybridMultilevel"/>
    <w:lvl w:ilvl="0">
      <w:lvlJc w:val="left"/>
      <w:lvlText w:val="(%1)"/>
      <w:numFmt w:val="lowerLetter"/>
      <w:start w:val="2"/>
    </w:lvl>
  </w:abstractNum>
  <w:abstractNum w:abstractNumId="60">
    <w:nsid w:val="53299938"/>
    <w:multiLevelType w:val="hybridMultilevel"/>
    <w:lvl w:ilvl="0">
      <w:lvlJc w:val="left"/>
      <w:lvlText w:val="(%1)"/>
      <w:numFmt w:val="lowerRoman"/>
      <w:start w:val="1"/>
    </w:lvl>
  </w:abstractNum>
  <w:abstractNum w:abstractNumId="61">
    <w:nsid w:val="1FBFE8E0"/>
    <w:multiLevelType w:val="hybridMultilevel"/>
    <w:lvl w:ilvl="0">
      <w:lvlJc w:val="left"/>
      <w:lvlText w:val="(%1)"/>
      <w:numFmt w:val="lowerRoman"/>
      <w:start w:val="1"/>
    </w:lvl>
  </w:abstractNum>
  <w:abstractNum w:abstractNumId="62">
    <w:nsid w:val="5092CA79"/>
    <w:multiLevelType w:val="hybridMultilevel"/>
    <w:lvl w:ilvl="0">
      <w:lvlJc w:val="left"/>
      <w:lvlText w:val="(%1)"/>
      <w:numFmt w:val="lowerLetter"/>
      <w:start w:val="2"/>
    </w:lvl>
  </w:abstractNum>
  <w:abstractNum w:abstractNumId="63">
    <w:nsid w:val="1D545C4D"/>
    <w:multiLevelType w:val="hybridMultilevel"/>
    <w:lvl w:ilvl="0">
      <w:lvlJc w:val="left"/>
      <w:lvlText w:val="(%1)"/>
      <w:numFmt w:val="lowerLetter"/>
      <w:start w:val="3"/>
    </w:lvl>
  </w:abstractNum>
  <w:abstractNum w:abstractNumId="64">
    <w:nsid w:val="59ADEA3D"/>
    <w:multiLevelType w:val="hybridMultilevel"/>
    <w:lvl w:ilvl="0">
      <w:lvlJc w:val="left"/>
      <w:lvlText w:val="(%1)"/>
      <w:numFmt w:val="lowerLetter"/>
      <w:start w:val="1"/>
    </w:lvl>
  </w:abstractNum>
  <w:abstractNum w:abstractNumId="65">
    <w:nsid w:val="288F1A34"/>
    <w:multiLevelType w:val="hybridMultilevel"/>
    <w:lvl w:ilvl="0">
      <w:lvlJc w:val="left"/>
      <w:lvlText w:val="(%1)"/>
      <w:numFmt w:val="lowerLetter"/>
      <w:start w:val="2"/>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lowerLetter"/>
      <w:start w:val="1"/>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2"/>
    </w:lvl>
  </w:abstractNum>
  <w:abstractNum w:abstractNumId="70">
    <w:nsid w:val="1CA0C5FA"/>
    <w:multiLevelType w:val="hybridMultilevel"/>
    <w:lvl w:ilvl="0">
      <w:lvlJc w:val="left"/>
      <w:lvlText w:val="(%1)"/>
      <w:numFmt w:val="lowerRoman"/>
      <w:start w:val="1"/>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1)"/>
      <w:numFmt w:val="lowerLetter"/>
      <w:start w:val="1"/>
    </w:lvl>
    <w:lvl w:ilvl="1">
      <w:lvlJc w:val="left"/>
      <w:lvlText w:val="(%2)"/>
      <w:numFmt w:val="lowerRoman"/>
      <w:start w:val="1"/>
    </w:lvl>
  </w:abstractNum>
  <w:abstractNum w:abstractNumId="73">
    <w:nsid w:val="7C58FD05"/>
    <w:multiLevelType w:val="hybridMultilevel"/>
    <w:lvl w:ilvl="0">
      <w:lvlJc w:val="left"/>
      <w:lvlText w:val="(%1)"/>
      <w:numFmt w:val="lowerLetter"/>
      <w:start w:val="5"/>
    </w:lvl>
  </w:abstractNum>
  <w:abstractNum w:abstractNumId="74">
    <w:nsid w:val="23D86AAC"/>
    <w:multiLevelType w:val="hybridMultilevel"/>
    <w:lvl w:ilvl="0">
      <w:lvlJc w:val="left"/>
      <w:lvlText w:val="(%1)"/>
      <w:numFmt w:val="lowerLetter"/>
      <w:start w:val="1"/>
    </w:lvl>
  </w:abstractNum>
  <w:abstractNum w:abstractNumId="75">
    <w:nsid w:val="45E6D486"/>
    <w:multiLevelType w:val="hybridMultilevel"/>
    <w:lvl w:ilvl="0">
      <w:lvlJc w:val="left"/>
      <w:lvlText w:val="(%1)"/>
      <w:numFmt w:val="lowerLetter"/>
      <w:start w:val="4"/>
    </w:lvl>
  </w:abstractNum>
  <w:abstractNum w:abstractNumId="76">
    <w:nsid w:val="5C10FE21"/>
    <w:multiLevelType w:val="hybridMultilevel"/>
    <w:lvl w:ilvl="0">
      <w:lvlJc w:val="left"/>
      <w:lvlText w:val="(%1)"/>
      <w:numFmt w:val="lowerLetter"/>
      <w:start w:val="2"/>
    </w:lvl>
    <w:lvl w:ilvl="1">
      <w:lvlJc w:val="left"/>
      <w:lvlText w:val="(%2)"/>
      <w:numFmt w:val="lowerRoman"/>
      <w:start w:val="1"/>
    </w:lvl>
  </w:abstractNum>
  <w:abstractNum w:abstractNumId="77">
    <w:nsid w:val="E7FFA2B"/>
    <w:multiLevelType w:val="hybridMultilevel"/>
    <w:lvl w:ilvl="0">
      <w:lvlJc w:val="left"/>
      <w:lvlText w:val="(%1)"/>
      <w:numFmt w:val="lowerLetter"/>
      <w:start w:val="3"/>
    </w:lvl>
  </w:abstractNum>
  <w:abstractNum w:abstractNumId="78">
    <w:nsid w:val="3C5991AA"/>
    <w:multiLevelType w:val="hybridMultilevel"/>
    <w:lvl w:ilvl="0">
      <w:lvlJc w:val="left"/>
      <w:lvlText w:val="(%1)"/>
      <w:numFmt w:val="lowerLetter"/>
      <w:start w:val="4"/>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2"/>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3">
    <w:nsid w:val="6C80EC70"/>
    <w:multiLevelType w:val="hybridMultilevel"/>
    <w:lvl w:ilvl="0">
      <w:lvlJc w:val="left"/>
      <w:lvlText w:val="(%1)"/>
      <w:numFmt w:val="lowerLetter"/>
      <w:start w:val="2"/>
    </w:lvl>
  </w:abstractNum>
  <w:abstractNum w:abstractNumId="84">
    <w:nsid w:val="379E21B5"/>
    <w:multiLevelType w:val="hybridMultilevel"/>
    <w:lvl w:ilvl="0">
      <w:lvlJc w:val="left"/>
      <w:lvlText w:val="(%1)"/>
      <w:numFmt w:val="lowerRoman"/>
      <w:start w:val="2"/>
    </w:lvl>
    <w:lvl w:ilvl="1">
      <w:lvlJc w:val="left"/>
      <w:lvlText w:val="(%2)"/>
      <w:numFmt w:val="upperLetter"/>
      <w:start w:val="1"/>
    </w:lvl>
  </w:abstractNum>
  <w:abstractNum w:abstractNumId="85">
    <w:nsid w:val="69E373"/>
    <w:multiLevelType w:val="hybridMultilevel"/>
    <w:lvl w:ilvl="0">
      <w:lvlJc w:val="left"/>
      <w:lvlText w:val="(%1)"/>
      <w:numFmt w:val="lowerRoman"/>
      <w:start w:val="3"/>
    </w:lvl>
  </w:abstractNum>
  <w:abstractNum w:abstractNumId="86">
    <w:nsid w:val="2C27173B"/>
    <w:multiLevelType w:val="hybridMultilevel"/>
    <w:lvl w:ilvl="0">
      <w:lvlJc w:val="left"/>
      <w:lvlText w:val="(%1)"/>
      <w:numFmt w:val="lowerRoman"/>
      <w:start w:val="4"/>
    </w:lvl>
  </w:abstractNum>
  <w:abstractNum w:abstractNumId="87">
    <w:nsid w:val="4C9B0904"/>
    <w:multiLevelType w:val="hybridMultilevel"/>
    <w:lvl w:ilvl="0">
      <w:lvlJc w:val="left"/>
      <w:lvlText w:val="(%1)"/>
      <w:numFmt w:val="lowerLetter"/>
      <w:start w:val="3"/>
    </w:lvl>
  </w:abstractNum>
  <w:abstractNum w:abstractNumId="88">
    <w:nsid w:val="6AA7B75C"/>
    <w:multiLevelType w:val="hybridMultilevel"/>
    <w:lvl w:ilvl="0">
      <w:lvlJc w:val="left"/>
      <w:lvlText w:val="(%1)"/>
      <w:numFmt w:val="lowerLetter"/>
      <w:start w:val="1"/>
    </w:lvl>
    <w:lvl w:ilvl="1">
      <w:lvlJc w:val="left"/>
      <w:lvlText w:val="(%2)"/>
      <w:numFmt w:val="lowerRoman"/>
      <w:start w:val="1"/>
    </w:lvl>
  </w:abstractNum>
  <w:abstractNum w:abstractNumId="89">
    <w:nsid w:val="1DF029D3"/>
    <w:multiLevelType w:val="hybridMultilevel"/>
    <w:lvl w:ilvl="0">
      <w:lvlJc w:val="left"/>
      <w:lvlText w:val="(%1)"/>
      <w:numFmt w:val="lowerRoman"/>
      <w:start w:val="3"/>
    </w:lvl>
  </w:abstractNum>
  <w:abstractNum w:abstractNumId="90">
    <w:nsid w:val="5675FF36"/>
    <w:multiLevelType w:val="hybridMultilevel"/>
    <w:lvl w:ilvl="0">
      <w:lvlJc w:val="left"/>
      <w:lvlText w:val="(%1)"/>
      <w:numFmt w:val="lowerRoman"/>
      <w:start w:val="4"/>
    </w:lvl>
    <w:lvl w:ilvl="1">
      <w:lvlJc w:val="left"/>
      <w:lvlText w:val="(%2)"/>
      <w:numFmt w:val="upperLetter"/>
      <w:start w:val="1"/>
    </w:lvl>
  </w:abstractNum>
  <w:abstractNum w:abstractNumId="91">
    <w:nsid w:val="3DD15094"/>
    <w:multiLevelType w:val="hybridMultilevel"/>
    <w:lvl w:ilvl="0">
      <w:lvlJc w:val="left"/>
      <w:lvlText w:val="(%1)"/>
      <w:numFmt w:val="lowerRoman"/>
      <w:start w:val="5"/>
    </w:lvl>
  </w:abstractNum>
  <w:abstractNum w:abstractNumId="92">
    <w:nsid w:val="3DB012B3"/>
    <w:multiLevelType w:val="hybridMultilevel"/>
    <w:lvl w:ilvl="0">
      <w:lvlJc w:val="left"/>
      <w:lvlText w:val="(%1)"/>
      <w:numFmt w:val="lowerLetter"/>
      <w:start w:val="2"/>
    </w:lvl>
  </w:abstractNum>
  <w:abstractNum w:abstractNumId="93">
    <w:nsid w:val="2708C9AF"/>
    <w:multiLevelType w:val="hybridMultilevel"/>
    <w:lvl w:ilvl="0">
      <w:lvlJc w:val="left"/>
      <w:lvlText w:val="(%1)"/>
      <w:numFmt w:val="lowerLetter"/>
      <w:start w:val="3"/>
    </w:lvl>
  </w:abstractNum>
  <w:abstractNum w:abstractNumId="94">
    <w:nsid w:val="5B25ACE2"/>
    <w:multiLevelType w:val="hybridMultilevel"/>
    <w:lvl w:ilvl="0">
      <w:lvlJc w:val="left"/>
      <w:lvlText w:val="(%1)"/>
      <w:numFmt w:val="lowerLetter"/>
      <w:start w:val="4"/>
    </w:lvl>
  </w:abstractNum>
  <w:abstractNum w:abstractNumId="95">
    <w:nsid w:val="175DFCF0"/>
    <w:multiLevelType w:val="hybridMultilevel"/>
    <w:lvl w:ilvl="0">
      <w:lvlJc w:val="left"/>
      <w:lvlText w:val="(%1)"/>
      <w:numFmt w:val="lowerLetter"/>
      <w:start w:val="9"/>
    </w:lvl>
  </w:abstractNum>
  <w:abstractNum w:abstractNumId="96">
    <w:nsid w:val="4F97E3E4"/>
    <w:multiLevelType w:val="hybridMultilevel"/>
    <w:lvl w:ilvl="0">
      <w:lvlJc w:val="left"/>
      <w:lvlText w:val="(%1)"/>
      <w:numFmt w:val="lowerLetter"/>
      <w:start w:val="2"/>
    </w:lvl>
  </w:abstractNum>
  <w:abstractNum w:abstractNumId="97">
    <w:nsid w:val="53B0A9E"/>
    <w:multiLevelType w:val="hybridMultilevel"/>
    <w:lvl w:ilvl="0">
      <w:lvlJc w:val="left"/>
      <w:lvlText w:val="(%1)"/>
      <w:numFmt w:val="lowerLetter"/>
      <w:start w:val="4"/>
    </w:lvl>
  </w:abstractNum>
  <w:abstractNum w:abstractNumId="98">
    <w:nsid w:val="34FD6B4F"/>
    <w:multiLevelType w:val="hybridMultilevel"/>
    <w:lvl w:ilvl="0">
      <w:lvlJc w:val="left"/>
      <w:lvlText w:val="(%1)"/>
      <w:numFmt w:val="lowerRoman"/>
      <w:start w:val="1"/>
    </w:lvl>
  </w:abstractNum>
  <w:abstractNum w:abstractNumId="99">
    <w:nsid w:val="5915FF32"/>
    <w:multiLevelType w:val="hybridMultilevel"/>
    <w:lvl w:ilvl="0">
      <w:lvlJc w:val="left"/>
      <w:lvlText w:val="(%1)"/>
      <w:numFmt w:val="lowerRoman"/>
      <w:start w:val="3"/>
    </w:lvl>
  </w:abstractNum>
  <w:abstractNum w:abstractNumId="100">
    <w:nsid w:val="56438D15"/>
    <w:multiLevelType w:val="hybridMultilevel"/>
    <w:lvl w:ilvl="0">
      <w:lvlJc w:val="left"/>
      <w:lvlText w:val="(%1)"/>
      <w:numFmt w:val="lowerLetter"/>
      <w:start w:val="6"/>
    </w:lvl>
  </w:abstractNum>
  <w:abstractNum w:abstractNumId="101">
    <w:nsid w:val="519E3149"/>
    <w:multiLevelType w:val="hybridMultilevel"/>
    <w:lvl w:ilvl="0">
      <w:lvlJc w:val="left"/>
      <w:lvlText w:val="(%1)"/>
      <w:numFmt w:val="lowerLetter"/>
      <w:start w:val="1"/>
    </w:lvl>
  </w:abstractNum>
  <w:abstractNum w:abstractNumId="102">
    <w:nsid w:val="2C6E4AFD"/>
    <w:multiLevelType w:val="hybridMultilevel"/>
    <w:lvl w:ilvl="0">
      <w:lvlJc w:val="left"/>
      <w:lvlText w:val="(%1)"/>
      <w:numFmt w:val="lowerLetter"/>
      <w:start w:val="2"/>
    </w:lvl>
  </w:abstractNum>
  <w:abstractNum w:abstractNumId="103">
    <w:nsid w:val="17A1B582"/>
    <w:multiLevelType w:val="hybridMultilevel"/>
    <w:lvl w:ilvl="0">
      <w:lvlJc w:val="left"/>
      <w:lvlText w:val="X"/>
      <w:numFmt w:val="bullet"/>
      <w:start w:val="1"/>
    </w:lvl>
  </w:abstractNum>
  <w:abstractNum w:abstractNumId="104">
    <w:nsid w:val="4DF72E4E"/>
    <w:multiLevelType w:val="hybridMultilevel"/>
    <w:lvl w:ilvl="0">
      <w:lvlJc w:val="left"/>
      <w:lvlText w:val="Y"/>
      <w:numFmt w:val="bullet"/>
      <w:start w:val="1"/>
    </w:lvl>
  </w:abstractNum>
  <w:abstractNum w:abstractNumId="105">
    <w:nsid w:val="5046B5A9"/>
    <w:multiLevelType w:val="hybridMultilevel"/>
    <w:lvl w:ilvl="0">
      <w:lvlJc w:val="left"/>
      <w:lvlText w:val="%1"/>
      <w:numFmt w:val="lowerLetter"/>
      <w:start w:val="1"/>
    </w:lvl>
    <w:lvl w:ilvl="1">
      <w:lvlJc w:val="left"/>
      <w:lvlText w:val="(%2)"/>
      <w:numFmt w:val="lowerLetter"/>
      <w:start w:val="3"/>
    </w:lvl>
  </w:abstractNum>
  <w:abstractNum w:abstractNumId="106">
    <w:nsid w:val="5D888A08"/>
    <w:multiLevelType w:val="hybridMultilevel"/>
    <w:lvl w:ilvl="0">
      <w:lvlJc w:val="left"/>
      <w:lvlText w:val="(%1)"/>
      <w:numFmt w:val="lowerLetter"/>
      <w:start w:val="35"/>
    </w:lvl>
    <w:lvl w:ilvl="1">
      <w:lvlJc w:val="left"/>
      <w:lvlText w:val="%2"/>
      <w:numFmt w:val="lowerLetter"/>
      <w:start w:val="1"/>
    </w:lvl>
  </w:abstractNum>
  <w:abstractNum w:abstractNumId="107">
    <w:nsid w:val="2A082C70"/>
    <w:multiLevelType w:val="hybridMultilevel"/>
    <w:lvl w:ilvl="0">
      <w:lvlJc w:val="left"/>
      <w:lvlText w:val="(%1)"/>
      <w:numFmt w:val="upperLetter"/>
      <w:start w:val="1"/>
    </w:lvl>
  </w:abstractNum>
  <w:abstractNum w:abstractNumId="108">
    <w:nsid w:val="5EC6AFD4"/>
    <w:multiLevelType w:val="hybridMultilevel"/>
    <w:lvl w:ilvl="0">
      <w:lvlJc w:val="left"/>
      <w:lvlText w:val="(%1)"/>
      <w:numFmt w:val="lowerLetter"/>
      <w:start w:val="4"/>
    </w:lvl>
  </w:abstractNum>
  <w:abstractNum w:abstractNumId="109">
    <w:nsid w:val="19E21BB2"/>
    <w:multiLevelType w:val="hybridMultilevel"/>
    <w:lvl w:ilvl="0">
      <w:lvlJc w:val="left"/>
      <w:lvlText w:val="C"/>
      <w:numFmt w:val="bullet"/>
      <w:start w:val="1"/>
    </w:lvl>
  </w:abstractNum>
  <w:abstractNum w:abstractNumId="110">
    <w:nsid w:val="75E0858A"/>
    <w:multiLevelType w:val="hybridMultilevel"/>
    <w:lvl w:ilvl="0">
      <w:lvlJc w:val="left"/>
      <w:lvlText w:val="(%1)"/>
      <w:numFmt w:val="lowerLetter"/>
      <w:start w:val="5"/>
    </w:lvl>
  </w:abstractNum>
  <w:abstractNum w:abstractNumId="111">
    <w:nsid w:val="57A61A29"/>
    <w:multiLevelType w:val="hybridMultilevel"/>
    <w:lvl w:ilvl="0">
      <w:lvlJc w:val="left"/>
      <w:lvlText w:val="(%1)"/>
      <w:numFmt w:val="lowerLetter"/>
      <w:start w:val="6"/>
    </w:lvl>
    <w:lvl w:ilvl="1">
      <w:lvlJc w:val="left"/>
      <w:lvlText w:val="(%2)"/>
      <w:numFmt w:val="lowerLetter"/>
      <w:start w:val="9"/>
    </w:lvl>
  </w:abstractNum>
  <w:abstractNum w:abstractNumId="112">
    <w:nsid w:val="5399C654"/>
    <w:multiLevelType w:val="hybridMultilevel"/>
    <w:lvl w:ilvl="0">
      <w:lvlJc w:val="left"/>
      <w:lvlText w:val="%1"/>
      <w:numFmt w:val="lowerLetter"/>
      <w:start w:val="1"/>
    </w:lvl>
    <w:lvl w:ilvl="1">
      <w:lvlJc w:val="left"/>
      <w:lvlText w:val="(%2)"/>
      <w:numFmt w:val="lowerRoman"/>
      <w:start w:val="2"/>
    </w:lvl>
  </w:abstractNum>
  <w:abstractNum w:abstractNumId="113">
    <w:nsid w:val="20EE1348"/>
    <w:multiLevelType w:val="hybridMultilevel"/>
    <w:lvl w:ilvl="0">
      <w:lvlJc w:val="left"/>
      <w:lvlText w:val="(%1)"/>
      <w:numFmt w:val="lowerLetter"/>
      <w:start w:val="10"/>
    </w:lvl>
    <w:lvl w:ilvl="1">
      <w:lvlJc w:val="left"/>
      <w:lvlText w:val="%2"/>
      <w:numFmt w:val="lowerRoman"/>
      <w:start w:val="1"/>
    </w:lvl>
  </w:abstractNum>
  <w:abstractNum w:abstractNumId="114">
    <w:nsid w:val="4427069A"/>
    <w:multiLevelType w:val="hybridMultilevel"/>
    <w:lvl w:ilvl="0">
      <w:lvlJc w:val="left"/>
      <w:lvlText w:val="(%1)"/>
      <w:numFmt w:val="lowerLetter"/>
      <w:start w:val="13"/>
    </w:lvl>
  </w:abstractNum>
  <w:abstractNum w:abstractNumId="115">
    <w:nsid w:val="B37E80A"/>
    <w:multiLevelType w:val="hybridMultilevel"/>
    <w:lvl w:ilvl="0">
      <w:lvlJc w:val="left"/>
      <w:lvlText w:val="(%1)"/>
      <w:numFmt w:val="lowerLetter"/>
      <w:start w:val="1"/>
    </w:lvl>
    <w:lvl w:ilvl="1">
      <w:lvlJc w:val="left"/>
      <w:lvlText w:val="(%2)"/>
      <w:numFmt w:val="lowerRoman"/>
      <w:start w:val="1"/>
    </w:lvl>
  </w:abstractNum>
  <w:abstractNum w:abstractNumId="116">
    <w:nsid w:val="2157F6BC"/>
    <w:multiLevelType w:val="hybridMultilevel"/>
    <w:lvl w:ilvl="0">
      <w:lvlJc w:val="left"/>
      <w:lvlText w:val="(%1)"/>
      <w:numFmt w:val="lowerLetter"/>
      <w:start w:val="2"/>
    </w:lvl>
  </w:abstractNum>
  <w:abstractNum w:abstractNumId="117">
    <w:nsid w:val="704E1DD5"/>
    <w:multiLevelType w:val="hybridMultilevel"/>
    <w:lvl w:ilvl="0">
      <w:lvlJc w:val="left"/>
      <w:lvlText w:val="(%1)"/>
      <w:numFmt w:val="lowerLetter"/>
      <w:start w:val="2"/>
    </w:lvl>
  </w:abstractNum>
  <w:abstractNum w:abstractNumId="118">
    <w:nsid w:val="57D2F10E"/>
    <w:multiLevelType w:val="hybridMultilevel"/>
    <w:lvl w:ilvl="0">
      <w:lvlJc w:val="left"/>
      <w:lvlText w:val="(%1)"/>
      <w:numFmt w:val="lowerLetter"/>
      <w:start w:val="2"/>
    </w:lvl>
  </w:abstractNum>
  <w:abstractNum w:abstractNumId="119">
    <w:nsid w:val="BFFAE18"/>
    <w:multiLevelType w:val="hybridMultilevel"/>
    <w:lvl w:ilvl="0">
      <w:lvlJc w:val="left"/>
      <w:lvlText w:val="(%1)"/>
      <w:numFmt w:val="lowerLetter"/>
      <w:start w:val="1"/>
    </w:lvl>
    <w:lvl w:ilvl="1">
      <w:lvlJc w:val="left"/>
      <w:lvlText w:val="(%2)"/>
      <w:numFmt w:val="lowerLetter"/>
      <w:start w:val="9"/>
    </w:lvl>
  </w:abstractNum>
  <w:abstractNum w:abstractNumId="120">
    <w:nsid w:val="E3E47A8"/>
    <w:multiLevelType w:val="hybridMultilevel"/>
    <w:lvl w:ilvl="0">
      <w:lvlJc w:val="left"/>
      <w:lvlText w:val="(%1)"/>
      <w:numFmt w:val="lowerRoman"/>
      <w:start w:val="2"/>
    </w:lvl>
  </w:abstractNum>
  <w:abstractNum w:abstractNumId="121">
    <w:nsid w:val="2E48F044"/>
    <w:multiLevelType w:val="hybridMultilevel"/>
    <w:lvl w:ilvl="0">
      <w:lvlJc w:val="left"/>
      <w:lvlText w:val="(%1)"/>
      <w:numFmt w:val="lowerRoman"/>
      <w:start w:val="1"/>
    </w:lvl>
  </w:abstractNum>
  <w:abstractNum w:abstractNumId="122">
    <w:nsid w:val="49D0FEAC"/>
    <w:multiLevelType w:val="hybridMultilevel"/>
    <w:lvl w:ilvl="0">
      <w:lvlJc w:val="left"/>
      <w:lvlText w:val="(%1)"/>
      <w:numFmt w:val="lowerLetter"/>
      <w:start w:val="3"/>
    </w:lvl>
    <w:lvl w:ilvl="1">
      <w:lvlJc w:val="left"/>
      <w:lvlText w:val="(%2)"/>
      <w:numFmt w:val="lowerRoman"/>
      <w:start w:val="1"/>
    </w:lvl>
  </w:abstractNum>
  <w:abstractNum w:abstractNumId="123">
    <w:nsid w:val="4BEE5A5B"/>
    <w:multiLevelType w:val="hybridMultilevel"/>
    <w:lvl w:ilvl="0">
      <w:lvlJc w:val="left"/>
      <w:lvlText w:val="(%1)"/>
      <w:numFmt w:val="lowerRoman"/>
      <w:start w:val="3"/>
    </w:lvl>
  </w:abstractNum>
  <w:abstractNum w:abstractNumId="124">
    <w:nsid w:val="5551B9F3"/>
    <w:multiLevelType w:val="hybridMultilevel"/>
    <w:lvl w:ilvl="0">
      <w:lvlJc w:val="left"/>
      <w:lvlText w:val="(%1)"/>
      <w:numFmt w:val="lowerLetter"/>
      <w:start w:val="4"/>
    </w:lvl>
  </w:abstractNum>
  <w:abstractNum w:abstractNumId="125">
    <w:nsid w:val="24F6AB8E"/>
    <w:multiLevelType w:val="hybridMultilevel"/>
    <w:lvl w:ilvl="0">
      <w:lvlJc w:val="left"/>
      <w:lvlText w:val="(%1)"/>
      <w:numFmt w:val="lowerLetter"/>
      <w:start w:val="5"/>
    </w:lvl>
  </w:abstractNum>
  <w:abstractNum w:abstractNumId="126">
    <w:nsid w:val="634C574C"/>
    <w:multiLevelType w:val="hybridMultilevel"/>
    <w:lvl w:ilvl="0">
      <w:lvlJc w:val="left"/>
      <w:lvlText w:val="(%1)"/>
      <w:numFmt w:val="lowerRoman"/>
      <w:start w:val="1"/>
    </w:lvl>
  </w:abstractNum>
  <w:abstractNum w:abstractNumId="127">
    <w:nsid w:val="24E99DD7"/>
    <w:multiLevelType w:val="hybridMultilevel"/>
    <w:lvl w:ilvl="0">
      <w:lvlJc w:val="left"/>
      <w:lvlText w:val="(%1)"/>
      <w:numFmt w:val="lowerLetter"/>
      <w:start w:val="2"/>
    </w:lvl>
  </w:abstractNum>
  <w:abstractNum w:abstractNumId="128">
    <w:nsid w:val="2A31B62D"/>
    <w:multiLevelType w:val="hybridMultilevel"/>
    <w:lvl w:ilvl="0">
      <w:lvlJc w:val="left"/>
      <w:lvlText w:val="(%1)"/>
      <w:numFmt w:val="lowerLetter"/>
      <w:start w:val="3"/>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lowerLetter"/>
      <w:start w:val="2"/>
    </w:lvl>
  </w:abstractNum>
  <w:abstractNum w:abstractNumId="131">
    <w:nsid w:val="754342"/>
    <w:multiLevelType w:val="hybridMultilevel"/>
    <w:lvl w:ilvl="0">
      <w:lvlJc w:val="left"/>
      <w:lvlText w:val="(%1)"/>
      <w:numFmt w:val="lowerLetter"/>
      <w:start w:val="2"/>
    </w:lvl>
    <w:lvl w:ilvl="1">
      <w:lvlJc w:val="left"/>
      <w:lvlText w:val="(%2)"/>
      <w:numFmt w:val="lowerRoman"/>
      <w:start w:val="1"/>
    </w:lvl>
  </w:abstractNum>
  <w:abstractNum w:abstractNumId="132">
    <w:nsid w:val="69E7F3E5"/>
    <w:multiLevelType w:val="hybridMultilevel"/>
    <w:lvl w:ilvl="0">
      <w:lvlJc w:val="left"/>
      <w:lvlText w:val="(%1)"/>
      <w:numFmt w:val="lowerRoman"/>
      <w:start w:val="4"/>
    </w:lvl>
  </w:abstractNum>
  <w:abstractNum w:abstractNumId="133">
    <w:nsid w:val="2A6DE806"/>
    <w:multiLevelType w:val="hybridMultilevel"/>
    <w:lvl w:ilvl="0">
      <w:lvlJc w:val="left"/>
      <w:lvlText w:val="(%1)"/>
      <w:numFmt w:val="lowerLetter"/>
      <w:start w:val="2"/>
    </w:lvl>
  </w:abstractNum>
  <w:abstractNum w:abstractNumId="134">
    <w:nsid w:val="1816F8C4"/>
    <w:multiLevelType w:val="hybridMultilevel"/>
    <w:lvl w:ilvl="0">
      <w:lvlJc w:val="left"/>
      <w:lvlText w:val="2"/>
      <w:numFmt w:val="bullet"/>
      <w:start w:val="1"/>
    </w:lvl>
  </w:abstractNum>
  <w:abstractNum w:abstractNumId="135">
    <w:nsid w:val="37DF2233"/>
    <w:multiLevelType w:val="hybridMultilevel"/>
    <w:lvl w:ilvl="0">
      <w:lvlJc w:val="left"/>
      <w:lvlText w:val="3"/>
      <w:numFmt w:val="bullet"/>
      <w:start w:val="1"/>
    </w:lvl>
  </w:abstractNum>
  <w:abstractNum w:abstractNumId="136">
    <w:nsid w:val="7AB49DAF"/>
    <w:multiLevelType w:val="hybridMultilevel"/>
    <w:lvl w:ilvl="0">
      <w:lvlJc w:val="left"/>
      <w:lvlText w:val="4"/>
      <w:numFmt w:val="bullet"/>
      <w:start w:val="1"/>
    </w:lvl>
  </w:abstractNum>
  <w:abstractNum w:abstractNumId="137">
    <w:nsid w:val="759F82CD"/>
    <w:multiLevelType w:val="hybridMultilevel"/>
    <w:lvl w:ilvl="0">
      <w:lvlJc w:val="left"/>
      <w:lvlText w:val="5"/>
      <w:numFmt w:val="bullet"/>
      <w:start w:val="1"/>
    </w:lvl>
  </w:abstractNum>
  <w:abstractNum w:abstractNumId="138">
    <w:nsid w:val="61E74EA3"/>
    <w:multiLevelType w:val="hybridMultilevel"/>
    <w:lvl w:ilvl="0">
      <w:lvlJc w:val="left"/>
      <w:lvlText w:val="6"/>
      <w:numFmt w:val="bullet"/>
      <w:start w:val="1"/>
    </w:lvl>
  </w:abstractNum>
  <w:abstractNum w:abstractNumId="139">
    <w:nsid w:val="597B4D84"/>
    <w:multiLevelType w:val="hybridMultilevel"/>
    <w:lvl w:ilvl="0">
      <w:lvlJc w:val="left"/>
      <w:lvlText w:val="(%1)"/>
      <w:numFmt w:val="lowerLetter"/>
      <w:start w:val="26"/>
    </w:lvl>
  </w:abstractNum>
  <w:abstractNum w:abstractNumId="140">
    <w:nsid w:val="F819E7F"/>
    <w:multiLevelType w:val="hybridMultilevel"/>
    <w:lvl w:ilvl="0">
      <w:lvlJc w:val="left"/>
      <w:lvlText w:val="7"/>
      <w:numFmt w:val="bullet"/>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11"/>
    </w:lvl>
  </w:abstractNum>
  <w:abstractNum w:abstractNumId="143">
    <w:nsid w:val="631B64D4"/>
    <w:multiLevelType w:val="hybridMultilevel"/>
    <w:lvl w:ilvl="0">
      <w:lvlJc w:val="left"/>
      <w:lvlText w:val="%1."/>
      <w:numFmt w:val="decimal"/>
      <w:start w:val="1"/>
    </w:lvl>
  </w:abstractNum>
  <w:abstractNum w:abstractNumId="144">
    <w:nsid w:val="78B5E776"/>
    <w:multiLevelType w:val="hybridMultilevel"/>
    <w:lvl w:ilvl="0">
      <w:lvlJc w:val="left"/>
      <w:lvlText w:val="%1."/>
      <w:numFmt w:val="decimal"/>
      <w:start w:val="2"/>
    </w:lvl>
  </w:abstractNum>
  <w:abstractNum w:abstractNumId="145">
    <w:nsid w:val="75486E47"/>
    <w:multiLevelType w:val="hybridMultilevel"/>
    <w:lvl w:ilvl="0">
      <w:lvlJc w:val="left"/>
      <w:lvlText w:val="(%1)"/>
      <w:numFmt w:val="lowerLetter"/>
      <w:start w:val="1"/>
    </w:lvl>
  </w:abstractNum>
  <w:abstractNum w:abstractNumId="146">
    <w:nsid w:val="6E534CDE"/>
    <w:multiLevelType w:val="hybridMultilevel"/>
    <w:lvl w:ilvl="0">
      <w:lvlJc w:val="left"/>
      <w:lvlText w:val="%1"/>
      <w:numFmt w:val="lowerLetter"/>
      <w:start w:val="1"/>
    </w:lvl>
    <w:lvl w:ilvl="1">
      <w:lvlJc w:val="left"/>
      <w:lvlText w:val="(%2)"/>
      <w:numFmt w:val="lowerLetter"/>
      <w:start w:val="6"/>
    </w:lvl>
  </w:abstractNum>
  <w:abstractNum w:abstractNumId="147">
    <w:nsid w:val="1A0DDE32"/>
    <w:multiLevelType w:val="hybridMultilevel"/>
    <w:lvl w:ilvl="0">
      <w:lvlJc w:val="left"/>
      <w:lvlText w:val="(%1)"/>
      <w:numFmt w:val="lowerLetter"/>
      <w:start w:val="9"/>
    </w:lvl>
    <w:lvl w:ilvl="1">
      <w:lvlJc w:val="left"/>
      <w:lvlText w:val="(%2)"/>
      <w:numFmt w:val="lowerLetter"/>
      <w:start w:val="10"/>
    </w:lvl>
  </w:abstractNum>
  <w:abstractNum w:abstractNumId="148">
    <w:nsid w:val="65968C1C"/>
    <w:multiLevelType w:val="hybridMultilevel"/>
    <w:lvl w:ilvl="0">
      <w:lvlJc w:val="left"/>
      <w:lvlText w:val="(%1)"/>
      <w:numFmt w:val="lowerLetter"/>
      <w:start w:val="11"/>
    </w:lvl>
  </w:abstractNum>
  <w:abstractNum w:abstractNumId="149">
    <w:nsid w:val="46263D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4" Type="http://schemas.openxmlformats.org/officeDocument/2006/relationships/hyperlink" Target="https://www.sec.gov/Archives/edgar/data/1992243/000121390025122336/ea026983401ex4-1_t1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2026-04-17T15:41:12Z</dcterms:created>
  <dcterms:modified xsi:type="dcterms:W3CDTF">2026-04-17T15:41:12Z</dcterms:modified>
</cp:coreProperties>
</file>