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50.xml.htm"/>
      <w:bookmarkStart w:id="1" w:name="ksmarketforms735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Hammond Robert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33,375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grant on July 2, 2026 of 33,375 RSUs under the Company's 2021 Equity Incentive Plan (as amended and restated on April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(a) the first anniversary of the date of grant and (b) the date of the Company's 2027 annual general meeting of stockholders, provided that such meeting occurs at least 50 weeks after the Company's 2026 annual general meeting of stockholders, which took place on June 17, 2026. Vested RSUs will be settled in shares of Common Stock.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6067"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3622</Characters>
  <CharactersWithSpaces>4242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