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7695-424b7_t1energy.htm"/>
      <w:bookmarkStart w:id="1" w:name="ksea0307695424b7_t1energy"/>
      <w:bookmarkEnd w:id="0"/>
      <w:bookmarkEnd w:id="1"/>
      <w:r>
        <w:rPr>
          <w:rFonts w:ascii="Times New Roman;Times;Serif" w:hAnsi="Times New Roman;Times;Serif"/>
          <w:b/>
          <w:i w:val="false"/>
          <w:caps w:val="false"/>
          <w:smallCaps w:val="false"/>
          <w:sz w:val="20"/>
        </w:rPr>
        <w:t>Filed pursuant to Rule 424(b)(7)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333-292857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January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782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742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7,246,377 Shares of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resale of 7,246,377 shares of T1 Energy Inc. (the “Company,” “we”, “our”, “us”, “T1 Energy”) common stock, par value $0.01 per share (the “common stock”), by the selling securityholder named in this prospectus supplement (collectively with any pledgees, donees, transferees, assignees, successors and other permitted transferees, the “Selling Securityholders”). The shares of common stock registered for resale pursuant to this prospectus supplement consist of 7,246,377 shares of common stock (such shares of common stock, the “Securities”) that have been issued, or that are issuable subject to the Ownership Limitation (as defined herein), to Evervolt Green Energy Holding Pte, Ltd., a private company limited by shares organized under the laws of Singapore (the “Evervolt”), as a portion of the consideration for the purchase by the Company of intellectual property and proprietary rights (the “Acquired IP”), and related rights, and certain other assets (together, the “Purchased Assets”) from Evervolt pursuant to an intellectual property purchase agreement (the “IP Purchase Agreement”), dated July 28, 2026, between the Company and Evervolt. The Securities are being registered to fulfill our contractual obligations to the Selling Securityholders. We will not receive any of the proceeds from the resale of the Securities by the Selling Securityholders. See “Summary of this Prospectus Supplement—IP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or assume all underwriting discounts, selling commissions and other expenses, if any, incurred in connection with their sale of the Securities. We have agreed to pay certain expenses in connection with the registration statement of which this prospectus supplement forms a part and to indemnify the Selling Securityholders and certain related persons against certain liabilities. As of the date of this prospectus supplement, no underwriter or other person has been engaged to facilitate the sale of the Securities held by the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in order to permit the Selling Securityholders to offer the Securities for resale from time to time. Our registration of the Securities covered by this prospectus supplement does not mean that the Selling Securityholders will offer or sell any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transfer or otherwise dispose of all or a portion of the Securities publicly or through private transactions at fixed prices, prevailing market prices or at negotiated prices, or at market prices prevailing at the time of sale.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listed on the New York Stock Exchange (the “NYSE”) under the symbol “TE.” On October 5, 2026, the last reported sale price of the common stock was $3.70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AND YOU SHOULD READ THIS PROSPECTUS SUPPLEMENT, THE ACCOMPANYING PROSPECTUS AND THE DOCUMENTS INCORPORATED OR DEEMED INCORPORATED BY REFERENCE INTO THIS PROSPECTUS SUPPLEMENT AND THE ACCOMPANYING PROSPECTUS BEFORE YOU INVEST. SEE “RISK FACTORS” BEGINNING ON PAGE S-2 OF THIS PROSPECTUS SUPPLEMENT AND ANY SIMILAR SECTION INCLUDED IN THE ACCOMPANYING PROSPECTUS AND IN THE DOCUMENTS INCORPORATED BY REFERENCE HEREIN AND THEREIN. YOU SHOULD CAREFULLY CONSIDER THESE FACTORS BEFORE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(the “SEC”) nor any other regulatory body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245"/>
        <w:gridCol w:w="410"/>
      </w:tblGrid>
      <w:tr>
        <w:trPr/>
        <w:tc>
          <w:tcPr>
            <w:tcW w:w="6245" w:type="dxa"/>
            <w:tcBorders/>
            <w:shd w:fill="CCEEFF" w:val="clear"/>
            <w:vAlign w:val="center"/>
          </w:tcPr>
          <w:p>
            <w:pPr>
              <w:pStyle w:val="TableContents"/>
              <w:bidi w:val="0"/>
              <w:spacing w:before="0" w:after="283"/>
              <w:jc w:val="left"/>
              <w:rPr/>
            </w:pPr>
            <w:hyperlink w:anchor="S_1">
              <w:r>
                <w:rPr>
                  <w:rStyle w:val="InternetLink"/>
                  <w:rFonts w:ascii="Times New Roman;Times;Serif" w:hAnsi="Times New Roman;Times;Serif"/>
                  <w:b w:val="false"/>
                  <w:i w:val="false"/>
                  <w:caps w:val="false"/>
                  <w:smallCaps w:val="false"/>
                  <w:sz w:val="20"/>
                </w:rPr>
                <w:t>ABOUT THIS PROSPECTUS SUPPLEMENT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S-iii</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3">
              <w:r>
                <w:rPr>
                  <w:rStyle w:val="InternetLink"/>
                  <w:rFonts w:ascii="Times New Roman;Times;Serif" w:hAnsi="Times New Roman;Times;Serif"/>
                  <w:b w:val="false"/>
                  <w:i w:val="false"/>
                  <w:caps w:val="false"/>
                  <w:smallCaps w:val="false"/>
                  <w:sz w:val="20"/>
                </w:rPr>
                <w:t>SUMMARY OF THIS PROSPECTUS SUPPLEMENT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4">
              <w:r>
                <w:rPr>
                  <w:rStyle w:val="InternetLink"/>
                  <w:rFonts w:ascii="Times New Roman;Times;Serif" w:hAnsi="Times New Roman;Times;Serif"/>
                  <w:b w:val="false"/>
                  <w:i w:val="false"/>
                  <w:caps w:val="false"/>
                  <w:smallCaps w:val="false"/>
                  <w:sz w:val="20"/>
                </w:rPr>
                <w:t>RISK FACTORS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5">
              <w:r>
                <w:rPr>
                  <w:rStyle w:val="InternetLink"/>
                  <w:rFonts w:ascii="Times New Roman;Times;Serif" w:hAnsi="Times New Roman;Times;Serif"/>
                  <w:b w:val="false"/>
                  <w:i w:val="false"/>
                  <w:caps w:val="false"/>
                  <w:smallCaps w:val="false"/>
                  <w:sz w:val="20"/>
                </w:rPr>
                <w:t>USE OF PROCEEDS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6">
              <w:r>
                <w:rPr>
                  <w:rStyle w:val="InternetLink"/>
                  <w:rFonts w:ascii="Times New Roman;Times;Serif" w:hAnsi="Times New Roman;Times;Serif"/>
                  <w:b w:val="false"/>
                  <w:i w:val="false"/>
                  <w:caps w:val="false"/>
                  <w:smallCaps w:val="false"/>
                  <w:sz w:val="20"/>
                </w:rPr>
                <w:t>DESCRIPTION OF SECURITIES BEING REGISTERED</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7">
              <w:r>
                <w:rPr>
                  <w:rStyle w:val="InternetLink"/>
                  <w:rFonts w:ascii="Times New Roman;Times;Serif" w:hAnsi="Times New Roman;Times;Serif"/>
                  <w:b w:val="false"/>
                  <w:i w:val="false"/>
                  <w:caps w:val="false"/>
                  <w:smallCaps w:val="false"/>
                  <w:sz w:val="20"/>
                </w:rPr>
                <w:t>SELLING SECURITYHOLDERS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8">
              <w:r>
                <w:rPr>
                  <w:rStyle w:val="InternetLink"/>
                  <w:rFonts w:ascii="Times New Roman;Times;Serif" w:hAnsi="Times New Roman;Times;Serif"/>
                  <w:b w:val="false"/>
                  <w:i w:val="false"/>
                  <w:caps w:val="false"/>
                  <w:smallCaps w:val="false"/>
                  <w:sz w:val="20"/>
                </w:rPr>
                <w:t>PLAN OF DISTRIBUTION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9">
              <w:r>
                <w:rPr>
                  <w:rStyle w:val="InternetLink"/>
                  <w:rFonts w:ascii="Times New Roman;Times;Serif" w:hAnsi="Times New Roman;Times;Serif"/>
                  <w:b w:val="false"/>
                  <w:i w:val="false"/>
                  <w:caps w:val="false"/>
                  <w:smallCaps w:val="false"/>
                  <w:sz w:val="20"/>
                </w:rPr>
                <w:t>LEGAL MATTERS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10">
              <w:r>
                <w:rPr>
                  <w:rStyle w:val="InternetLink"/>
                  <w:rFonts w:ascii="Times New Roman;Times;Serif" w:hAnsi="Times New Roman;Times;Serif"/>
                  <w:b w:val="false"/>
                  <w:i w:val="false"/>
                  <w:caps w:val="false"/>
                  <w:smallCaps w:val="false"/>
                  <w:sz w:val="20"/>
                </w:rPr>
                <w:t>EXPERTS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11">
              <w:r>
                <w:rPr>
                  <w:rStyle w:val="InternetLink"/>
                  <w:rFonts w:ascii="Times New Roman;Times;Serif" w:hAnsi="Times New Roman;Times;Serif"/>
                  <w:b w:val="false"/>
                  <w:i w:val="false"/>
                  <w:caps w:val="false"/>
                  <w:smallCaps w:val="false"/>
                  <w:sz w:val="20"/>
                </w:rPr>
                <w:t>WHERE YOU CAN FIND MORE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_12">
              <w:r>
                <w:rPr>
                  <w:rStyle w:val="InternetLink"/>
                  <w:rFonts w:ascii="Times New Roman;Times;Serif" w:hAnsi="Times New Roman;Times;Serif"/>
                  <w:b w:val="false"/>
                  <w:i w:val="false"/>
                  <w:caps w:val="false"/>
                  <w:smallCaps w:val="false"/>
                  <w:sz w:val="20"/>
                </w:rPr>
                <w:t>INCORPORATION OF CERTAIN DOCUMENTS BY REFERENCE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January 21, 2026</w:t>
      </w:r>
    </w:p>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shd w:fill="CCEEFF" w:val="clear"/>
            <w:vAlign w:val="center"/>
          </w:tcPr>
          <w:p>
            <w:pPr>
              <w:pStyle w:val="TableContents"/>
              <w:bidi w:val="0"/>
              <w:spacing w:before="0" w:after="283"/>
              <w:ind w:left="0" w:right="0" w:hanging="720"/>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ind w:left="0" w:right="0" w:hanging="720"/>
              <w:jc w:val="center"/>
              <w:rPr/>
            </w:pPr>
            <w:r>
              <w:rPr/>
              <w:t>ii</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275" w:type="dxa"/>
            <w:tcBorders/>
            <w:shd w:fill="CCEEFF" w:val="clear"/>
            <w:vAlign w:val="center"/>
          </w:tcPr>
          <w:p>
            <w:pPr>
              <w:pStyle w:val="TableContents"/>
              <w:bidi w:val="0"/>
              <w:spacing w:before="0" w:after="283"/>
              <w:ind w:left="0" w:right="0" w:hanging="720"/>
              <w:jc w:val="center"/>
              <w:rPr/>
            </w:pPr>
            <w:r>
              <w:rPr/>
              <w:t>iii</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OUR COMPANY</w:t>
              </w:r>
            </w:hyperlink>
          </w:p>
        </w:tc>
        <w:tc>
          <w:tcPr>
            <w:tcW w:w="275" w:type="dxa"/>
            <w:tcBorders/>
            <w:shd w:fill="CCEEFF" w:val="clear"/>
            <w:vAlign w:val="center"/>
          </w:tcPr>
          <w:p>
            <w:pPr>
              <w:pStyle w:val="TableContents"/>
              <w:bidi w:val="0"/>
              <w:spacing w:before="0" w:after="283"/>
              <w:ind w:left="0" w:right="0" w:hanging="720"/>
              <w:jc w:val="center"/>
              <w:rPr/>
            </w:pPr>
            <w:r>
              <w:rPr/>
              <w:t>1</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4">
              <w:r>
                <w:rPr>
                  <w:rStyle w:val="InternetLink"/>
                </w:rPr>
                <w:t>RISK FACTORS</w:t>
              </w:r>
            </w:hyperlink>
          </w:p>
        </w:tc>
        <w:tc>
          <w:tcPr>
            <w:tcW w:w="275" w:type="dxa"/>
            <w:tcBorders/>
            <w:shd w:fill="CCEEFF" w:val="clear"/>
            <w:vAlign w:val="center"/>
          </w:tcPr>
          <w:p>
            <w:pPr>
              <w:pStyle w:val="TableContents"/>
              <w:bidi w:val="0"/>
              <w:spacing w:before="0" w:after="283"/>
              <w:ind w:left="0" w:right="0" w:hanging="720"/>
              <w:jc w:val="center"/>
              <w:rPr/>
            </w:pPr>
            <w:r>
              <w:rPr/>
              <w:t>2</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275" w:type="dxa"/>
            <w:tcBorders/>
            <w:shd w:fill="CCEEFF" w:val="clear"/>
            <w:vAlign w:val="center"/>
          </w:tcPr>
          <w:p>
            <w:pPr>
              <w:pStyle w:val="TableContents"/>
              <w:bidi w:val="0"/>
              <w:spacing w:before="0" w:after="283"/>
              <w:ind w:left="0" w:right="0" w:hanging="720"/>
              <w:jc w:val="center"/>
              <w:rPr/>
            </w:pPr>
            <w:r>
              <w:rPr/>
              <w:t>3</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6">
              <w:r>
                <w:rPr>
                  <w:rStyle w:val="InternetLink"/>
                </w:rPr>
                <w:t>DESCRIPTION OF SECURITIES</w:t>
              </w:r>
            </w:hyperlink>
          </w:p>
        </w:tc>
        <w:tc>
          <w:tcPr>
            <w:tcW w:w="275" w:type="dxa"/>
            <w:tcBorders/>
            <w:shd w:fill="CCEEFF" w:val="clear"/>
            <w:vAlign w:val="center"/>
          </w:tcPr>
          <w:p>
            <w:pPr>
              <w:pStyle w:val="TableContents"/>
              <w:bidi w:val="0"/>
              <w:spacing w:before="0" w:after="283"/>
              <w:ind w:left="0" w:right="0" w:hanging="720"/>
              <w:jc w:val="center"/>
              <w:rPr/>
            </w:pPr>
            <w:r>
              <w:rPr/>
              <w:t>4</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275" w:type="dxa"/>
            <w:tcBorders/>
            <w:shd w:fill="CCEEFF" w:val="clear"/>
            <w:vAlign w:val="center"/>
          </w:tcPr>
          <w:p>
            <w:pPr>
              <w:pStyle w:val="TableContents"/>
              <w:bidi w:val="0"/>
              <w:spacing w:before="0" w:after="283"/>
              <w:ind w:left="0" w:right="0" w:hanging="720"/>
              <w:jc w:val="center"/>
              <w:rPr/>
            </w:pPr>
            <w:r>
              <w:rPr/>
              <w:t>5</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8">
              <w:r>
                <w:rPr>
                  <w:rStyle w:val="InternetLink"/>
                </w:rPr>
                <w:t>DESCRIPTION OF DEBT SECURITIES</w:t>
              </w:r>
            </w:hyperlink>
          </w:p>
        </w:tc>
        <w:tc>
          <w:tcPr>
            <w:tcW w:w="275" w:type="dxa"/>
            <w:tcBorders/>
            <w:shd w:fill="CCEEFF" w:val="clear"/>
            <w:vAlign w:val="center"/>
          </w:tcPr>
          <w:p>
            <w:pPr>
              <w:pStyle w:val="TableContents"/>
              <w:bidi w:val="0"/>
              <w:spacing w:before="0" w:after="283"/>
              <w:ind w:left="0" w:right="0" w:hanging="720"/>
              <w:jc w:val="center"/>
              <w:rPr/>
            </w:pPr>
            <w:r>
              <w:rPr/>
              <w:t>13</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m_001">
              <w:r>
                <w:rPr>
                  <w:rStyle w:val="InternetLink"/>
                </w:rPr>
                <w:t>DESCRIPTION OF EXISTING WARRANTS</w:t>
              </w:r>
            </w:hyperlink>
          </w:p>
        </w:tc>
        <w:tc>
          <w:tcPr>
            <w:tcW w:w="275" w:type="dxa"/>
            <w:tcBorders/>
            <w:shd w:fill="CCEEFF" w:val="clear"/>
            <w:vAlign w:val="center"/>
          </w:tcPr>
          <w:p>
            <w:pPr>
              <w:pStyle w:val="TableContents"/>
              <w:bidi w:val="0"/>
              <w:spacing w:before="0" w:after="283"/>
              <w:ind w:left="0" w:right="0" w:hanging="720"/>
              <w:jc w:val="center"/>
              <w:rPr/>
            </w:pPr>
            <w:r>
              <w:rPr/>
              <w:t>15</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9">
              <w:r>
                <w:rPr>
                  <w:rStyle w:val="InternetLink"/>
                </w:rPr>
                <w:t>DESCRIPTION OF NEW WARRANTS</w:t>
              </w:r>
            </w:hyperlink>
          </w:p>
        </w:tc>
        <w:tc>
          <w:tcPr>
            <w:tcW w:w="275" w:type="dxa"/>
            <w:tcBorders/>
            <w:shd w:fill="CCEEFF" w:val="clear"/>
            <w:vAlign w:val="center"/>
          </w:tcPr>
          <w:p>
            <w:pPr>
              <w:pStyle w:val="TableContents"/>
              <w:bidi w:val="0"/>
              <w:spacing w:before="0" w:after="283"/>
              <w:ind w:left="0" w:right="0" w:hanging="720"/>
              <w:jc w:val="center"/>
              <w:rPr/>
            </w:pPr>
            <w:r>
              <w:rPr/>
              <w:t>19</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DESCRIPTION OF SUBSCRIPTION RIGHTS</w:t>
              </w:r>
            </w:hyperlink>
          </w:p>
        </w:tc>
        <w:tc>
          <w:tcPr>
            <w:tcW w:w="275" w:type="dxa"/>
            <w:tcBorders/>
            <w:shd w:fill="CCEEFF" w:val="clear"/>
            <w:vAlign w:val="center"/>
          </w:tcPr>
          <w:p>
            <w:pPr>
              <w:pStyle w:val="TableContents"/>
              <w:bidi w:val="0"/>
              <w:spacing w:before="0" w:after="283"/>
              <w:ind w:left="0" w:right="0" w:hanging="720"/>
              <w:jc w:val="center"/>
              <w:rPr/>
            </w:pPr>
            <w:r>
              <w:rPr/>
              <w:t>20</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1">
              <w:r>
                <w:rPr>
                  <w:rStyle w:val="InternetLink"/>
                </w:rPr>
                <w:t>DESCRIPTION OF PURCHASE UNITS</w:t>
              </w:r>
            </w:hyperlink>
          </w:p>
        </w:tc>
        <w:tc>
          <w:tcPr>
            <w:tcW w:w="275" w:type="dxa"/>
            <w:tcBorders/>
            <w:shd w:fill="CCEEFF" w:val="clear"/>
            <w:vAlign w:val="center"/>
          </w:tcPr>
          <w:p>
            <w:pPr>
              <w:pStyle w:val="TableContents"/>
              <w:bidi w:val="0"/>
              <w:spacing w:before="0" w:after="283"/>
              <w:ind w:left="0" w:right="0" w:hanging="720"/>
              <w:jc w:val="center"/>
              <w:rPr/>
            </w:pPr>
            <w:r>
              <w:rPr/>
              <w:t>21</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SELLING SECURITYHOLDERS</w:t>
              </w:r>
            </w:hyperlink>
          </w:p>
        </w:tc>
        <w:tc>
          <w:tcPr>
            <w:tcW w:w="275" w:type="dxa"/>
            <w:tcBorders/>
            <w:shd w:fill="CCEEFF" w:val="clear"/>
            <w:vAlign w:val="center"/>
          </w:tcPr>
          <w:p>
            <w:pPr>
              <w:pStyle w:val="TableContents"/>
              <w:bidi w:val="0"/>
              <w:spacing w:before="0" w:after="283"/>
              <w:ind w:left="0" w:right="0" w:hanging="720"/>
              <w:jc w:val="center"/>
              <w:rPr/>
            </w:pPr>
            <w:r>
              <w:rPr/>
              <w:t>22</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3">
              <w:r>
                <w:rPr>
                  <w:rStyle w:val="InternetLink"/>
                </w:rPr>
                <w:t>PLAN OF DISTRIBUTION</w:t>
              </w:r>
            </w:hyperlink>
          </w:p>
        </w:tc>
        <w:tc>
          <w:tcPr>
            <w:tcW w:w="275" w:type="dxa"/>
            <w:tcBorders/>
            <w:shd w:fill="CCEEFF" w:val="clear"/>
            <w:vAlign w:val="center"/>
          </w:tcPr>
          <w:p>
            <w:pPr>
              <w:pStyle w:val="TableContents"/>
              <w:bidi w:val="0"/>
              <w:spacing w:before="0" w:after="283"/>
              <w:ind w:left="0" w:right="0" w:hanging="720"/>
              <w:jc w:val="center"/>
              <w:rPr/>
            </w:pPr>
            <w:r>
              <w:rPr/>
              <w:t>23</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CCEEFF" w:val="clear"/>
            <w:vAlign w:val="center"/>
          </w:tcPr>
          <w:p>
            <w:pPr>
              <w:pStyle w:val="TableContents"/>
              <w:bidi w:val="0"/>
              <w:spacing w:before="0" w:after="283"/>
              <w:ind w:left="0" w:right="0" w:hanging="720"/>
              <w:jc w:val="center"/>
              <w:rPr/>
            </w:pPr>
            <w:r>
              <w:rPr/>
              <w:t>24</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CCEEFF" w:val="clear"/>
            <w:vAlign w:val="center"/>
          </w:tcPr>
          <w:p>
            <w:pPr>
              <w:pStyle w:val="TableContents"/>
              <w:bidi w:val="0"/>
              <w:spacing w:before="0" w:after="283"/>
              <w:ind w:left="0" w:right="0" w:hanging="720"/>
              <w:jc w:val="center"/>
              <w:rPr/>
            </w:pPr>
            <w:r>
              <w:rPr/>
              <w:t>25</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CCEEFF" w:val="clear"/>
            <w:vAlign w:val="center"/>
          </w:tcPr>
          <w:p>
            <w:pPr>
              <w:pStyle w:val="TableContents"/>
              <w:bidi w:val="0"/>
              <w:spacing w:before="0" w:after="283"/>
              <w:ind w:left="0" w:right="0" w:hanging="720"/>
              <w:jc w:val="center"/>
              <w:rPr/>
            </w:pPr>
            <w:r>
              <w:rPr/>
              <w:t>26</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7">
              <w:r>
                <w:rPr>
                  <w:rStyle w:val="InternetLink"/>
                </w:rPr>
                <w:t>INCORPORATION OF CERTAIN DOCUMENTS BY REFERENCE</w:t>
              </w:r>
            </w:hyperlink>
          </w:p>
        </w:tc>
        <w:tc>
          <w:tcPr>
            <w:tcW w:w="275" w:type="dxa"/>
            <w:tcBorders/>
            <w:shd w:fill="CCEEFF" w:val="clear"/>
            <w:vAlign w:val="center"/>
          </w:tcPr>
          <w:p>
            <w:pPr>
              <w:pStyle w:val="TableContents"/>
              <w:bidi w:val="0"/>
              <w:spacing w:before="0" w:after="283"/>
              <w:jc w:val="center"/>
              <w:rPr/>
            </w:pPr>
            <w:r>
              <w:rPr/>
              <w:t>27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an automatic registration statement on Form S-3 that we filed with the SEC utilizing a “shelf” registration process as a “well-known seasoned issuer,” as defined in Rule 405 under the Securities Act of 1933, as amended (the “Securities Act”). Under this process, the Selling Securityholders named in this prospectus supplement may sell the Securities from time to time. The exhibits to the registration statement of which this prospectus supplement is a part and documents incorporated by reference herein contain the full text of certain contracts and other important documents that we have summarized in this prospectus supplement and the accompanying prospectus. Since these summaries may not contain all the information that you may find important in deciding whether to acquire or purchase Securities offered by this prospectus supplement, you should review the full text of these documents. We may provide an additional prospectus supplement or post-effective amendment to the registration statement of which this prospectus supplement forms a part to add to, update or change the information contained in this prospectus supplement. The registration statement and the exhibits and other documents can be obtained from the SEC as indicated under the section entitled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when we refer to this “prospectus supplement,” we are referring to both this prospectus supplement and the accompanying prospectus, as well as the documents incorporated by reference herein and therein.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the Securities directly or through one or more broker-dealers or agents.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supplement prepared by or on behalf of us or to which we have referred you. We and the Selling Securityholders take no responsibility for, and can provide no assurance as to the reliability of, any other information that others may give you. The information contained in this prospectus supplement is accurate only as of its respective date. Our business, financial condition, results of operations and prospects may have changed materially since those dates. Neither we nor the Selling Securityholders will make an offer to sell these Securities in any jurisdiction where the offer or sale is not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and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unless otherwise stated or unless the context otherwise requires: references to the “Company,” “T1 Energy,” the “registrant,” “we,” “our,” “us” and similar terms are to T1 Energy Inc., a Delaware corporation, and where appropriate, its wholly-owned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_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including the information and documents incorporated by reference herein and therein, contain forward-looking statements within the meaning of Section 27A of the Securities Act and Section 21E of the Securities Exchange Act of 1934, as amended (the “Exchange Act”). All statements other than statements of historical or current facts contained or incorporated by reference in this prospectus supplement and the accompanying prospectus may be forward-looking statements. Statements regarding our future results and timing of operations, expected performance and financial position, business strategy and plans and objectives of management for future operations, including, among others, statements regarding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 and are intended to identify forward-looking statements, although not all forward-looking statements contain such identifying words.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prospectus supplement and the accompanying prospectus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risks, uncertainties and other important factors include, without limitation, the risks set forth in Part I, Item 1A, “Risk Factors” in our Annual Report on Form 10-K for the year ended December 31, 2025 filed with the U.S. Securities and Exchange Commission (the “SEC”) on March 31, 2026, as amended and supplemented by Amendment No. 1 on Form 10-K/A filed with the SEC on April 30, 2026, and in our subsequent Quarterly Reports on Form 10-Q and our other filings with the SEC, including risks related to: (1) the Company’s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the Company’s internal control over financial reporting or otherwise maintain effective internal control over financial reporting, (ix) qualify for the advanced manufacturing production credit under Section 45X of the Internal Revenue Code of 1986, as amended (the “Code”), and (x) our exposure to warranty claims; (2) the Company’s ability to secure a comprehensive financing solution to fund the remaining capital expenditure for G2_Austin Phase 1 on favorable terms, or at all, and the timing of such financing; (3) the concentration of the Company’s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the Company’s products and competitive position; (7) the outcome of any legal proceedings relating to the Company’s products and services, including intellectual property or product liability claims, commercial or contractual disputes, warranty claims, and other proceedings; and (8) the capital-intensive nature of the Company’s business and its ability to raise additional capital on attractive terms or service its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prospectus supplement or the accompanying prospectus, or the documents incorporated by reference herein or therein,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and the accompanying prospectus,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prospectus supplement or, in the case of the accompanying prospectus or the documents incorporated by reference herein or therein, the date of any such document. Except as required by applicable law, we do not plan to publicly update or revise any forward-looking statement, whether as a result of any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S_3"/>
      <w:bookmarkEnd w:id="4"/>
      <w:r>
        <w:rPr>
          <w:rFonts w:ascii="Times New Roman;Times;Serif" w:hAnsi="Times New Roman;Times;Serif"/>
          <w:b/>
          <w:i w:val="false"/>
          <w:caps w:val="false"/>
          <w:smallCaps w:val="false"/>
          <w:sz w:val="20"/>
          <w:bdr w:val="single" w:sz="12" w:space="1" w:color="000000"/>
        </w:rPr>
        <w:t>SUMMARY OF THIS PROSPECTUS SUPPLEMENT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appearing elsewhere in this prospectus supplement and the accompanying prospectus. Because it is a summary, it may not contain all of the information that may be important to you. To understand this offering fully, you should read this prospectus supplement and the accompanying prospectus carefully, including the information set forth under the heading “Risk Factors” and our financial statements and related notes included in or incorporated by reference into this prospectus supplement and the accompanying prospectus and the documents to which we refer in the “Incorporation of Certain Documents by Reference” section below.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T1 Energy is an energy solutions provider building an integrated U.S. supply chain for solar. We manufacture and sell photovoltaic (“PV”) solar modules in the United States for our U.S. customers.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one of the leading solar manufacturing companies in the United States, primarily selling into the utility-scale market, the largest solar market segment in the U.S. We produce PV solar modules that employ highly energy efficient Passivated Emitter and Rear Contact and Tunnel Oxide Passivated Contact (“TOPCon”) technologies. Our PV solar module manufacturing facility operating in Wilmer, TX (“G1_Dallas”) has a total annual nameplate production capacity of five gigawatts. We believe our facility is one of the most technologically advanced PV solar module plants globally and has achieved annualized run rates above its nameplate capacity. To further expand our U.S. manufacturing footprint, we began construction in December 2025 of the first 2.1-gigawatt phase of our solar cell manufacturing fab in Milam County, Texas (“G2_Austin”). This facility is anticipated to begin production by the first quarter of 2027 of high-efficiency TOPCon solar cells that will be used in the PV solar modules manufactured at G1_Dallas.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IP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28, 2026 (the “Effective Date”), we entered into the IP Purchase Agreement pursuant to which we purchased the Purchased Assets from Evervolt. We entered into the IP Purchase Agreement following its exercise of a call option granted to us by Evervolt under a call option letter agreement, dated July 27, 2026 (the “Call Option Agreement”). The IP Purchase Agreement provides for payment of the purchase price (the “Purchase Price”) in four tranches: (i) $60.0 million, payable on the date that was three business days after the Effective Date; (ii) $25.0 million, payable on September 30, 2026; (iii) $30.0 million, payable on October 15, 2026; and (iv) $18.0 million, payable on October 30, 2026. Each tranche of the Purchase Price is payable, at our election, (a) in cash, (b) by the issuance to Evervolt of a number of shares of common stock pursuant to the terms of the Call Option Agreement, or (c) any combination of the foregoing in such ratio as mutually agreed by us and Evervolt. The number of shares of common stock that may be issued in satisfaction of any portion of the Purchase Price is calculated in accordance with the Call Option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previously disclosed, we issued 13,615,979 shares of common stock on July 31, 2026 in satisfaction of the first tranche payment of the Purchase Price. In connection with the second tranche payment due on September 30, 2026, we also elected to satisfy such payment with the issuance of 7,246,377 shares of common stock, subject to the Ownership Limitation described under “Selling Securityholders.” On September 30, 2026, 5,000,000 shares of common stock were issued as partial payment of the second tranche, with the issuance of the remaining 2,246,377 shares of common stock (the “Abeyance Shares”) being deferred subject to the Ownership Limitation.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Stock Exchange Listing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common stock is currently listed on the NYSE under the symbol “TE.”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mailing address of T1 Energy’s registered and principal executive office is 1211 E 4th St. Austin, Texas 78702. The telephone number of T1 Energy’s registered and principal executive office is 409-599-5706.</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_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significant risks. Prior to making a decision about investing in our common stock, and in consultation with your own financial and legal advisors, you should carefully consider, among other matters, the following risk factors, as well as those incorporated by reference in this prospectus supplement from our most recent Annual Report on Form 10-K, as revised or supplemented by our subsequent Quarterly Reports on Form 10-Q, under the headings “Risk Factors” and “Management’s Discussion and Analysis of Financial Condition and Results of Operations” and other filings we may make from time to time with the SEC. The risks described below are not the only ones facing our company. Additional risks not presently known to us or that we currently consider less significant may also impair our business operations. Our business, financial condition, or results of operations could be materially adversely affected by any of these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supplement also contains or incorporates by reference forward-looking statements that involve risks and uncertainties. Our actual results could differ materially from those anticipated in such forward-looking statements as a result of certain factors, including the risks faced by us described below and elsewhere in this prospectus supplement. See “Cautionary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ownership among our executive officers, directors, and their affiliates may prevent new investors from influencing significant corporate decisions.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their affiliates own shares of our common stock as well as other securities convertible into or exchangeable for shares of our common stock, outstanding options and warrants and/or may have certain contractual anti-dilution rights, as applicable, which in each case, may allow them to acquire additional shares of our common stock. As a result, these stockholders as a group could exercise a level of control over matters requiring stockholder approval, including the election of directors, amendment of our Certificate of Incorporation (as defined herein), and approval of significant corporate transactions. This control could have the effect of delaying or preventing a change of control or changes in management and will make the approval of certain transactions more difficult without the support of these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is likely to be highly volatile, and you may lose some or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be highly volatile and may be subject to wide fluctuations in response to a variety of factors,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170"/>
        <w:gridCol w:w="9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maintain the listing of our shares of common stock on NYSE;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uncertainty of our projected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organic and inorganic growth of our business and the timing of expected business milestones.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stock, regardless of our actual operating performance.</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or if third-party commentary about our company is negative or ceases, our share price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securities or industry analysts publish about us. If securities or industry analysts initiate coverage and one or more of the analysts who cover us downgrade our common stock or publish inaccurate or unfavorable research about our company, our common stock share price would likely decline. If analysts publish target prices for our common stock that are below the historical sales prices for shares of our common stock on a securities exchange or the then-current public price of our common stock, it could cause our stock price to decline significantly. Further, if one or more of these analysts cease coverage of us or fail to publish reports on us regularly, demand for our common stock could decrease, which might cause our common stock price and trading volume to decline. In addition to traditional equity research coverage, our common stock price and trading volume may be influenced by commentary, reports and opinions published or disseminated by independent writers, bloggers, podcasters or social media personalities (sometimes referred to as “influencers”), as well as third parties on social media platforms, investor forums and similar channels. These communications may be based on incomplete, inaccurate or misleading information, may be driven by short-term trading interests, and may not reflect our actual business performance or prospects. To the extent such third-party commentary is unfavorable, inaccurate or otherwise negative, our stock price and trading volume could be adversely affected. Conversely, if we have benefited from favorable third-party commentary in the past, there can be no assurance that such commentary will continue and any reduction or cessation of such commentary could also negatively affect demand for our common stock, or our stock price and trading volume.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offerings of debt, which would be senior to our common stock upon liquidation, and/or preferred equity securities, which may be senior to our common stock for purposes of dividend distributions or upon liquidation, may adversely affect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making offerings of debt or additional preferred equity securities, including senior or subordinated notes and/or preferred stock, and entering into new loan agreements. Upon liquidation, holders of our debt securities and preferred stock and lenders with respect to other borrowings will receive distributions of our available assets prior to the holders of our common stock. Additional equity and equity-linked offerings may dilute the holdings of our existing stockholders or reduce the market price of our common stock, or both. Except as otherwise disclosed in SEC filings, holders of our common stock are not entitled to preemptive rights or other protections against dilution. Because our decision to issue securities in any future offering and to enter into new loan agreements will depend on market conditions and other factors, many of which are beyond our control, we cannot predict or estimate the amount, timing or nature of our future offerings or borrowings. Thus, our stockholders bear the risk of our future offerings or loan arrangements reducing the market price of our common stock, reducing our assets available to them upon our liquidation and diluting their shareholdings in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and sales of our common stock or equity-linked securities in the public market and/or in connection with the acquisition of businesses or assets could lower the trading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sell additional shares of our common stock or equity-linked securities to raise capital and/or may issue such securities in connection with the acquisition of businesses or assets. In addition, a substantial number of shares of our common stock is, or will be, reserved for issuance upon the exercise of stock options and the vesting of restricted stock units pursuant to our equity incentive plans, upon the exercise of outstanding warrants, upon conversion of our preferred stock and upon conversion of our outstanding 5.25% Convertible Senior Notes due 2030, 4.00% Convertible Senior Notes due 2031 and 4.75% Convertible Senior Notes due 2031. We also have the right to elect to issue additional shares of our common stock as consideration under the IP Purchase Agreement and will be required to issue additional shares of common stock in connection with our previously announced acquisition of T1 NRI Inc. (formerly known as KORE Power, Inc.).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market price of our common stock and impair our ability to raise capital through the sale of additional equity or equity-linked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expected to be sold in this offering will be freely tradable without restriction or further registration under the Securities Act, unless held by our “affiliates” as defined in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in the foreseeable future, capital appreciation, if any, would be your sole source of gain.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capital-intensive nature of our business, we do not currently anticipate declaring any cash dividends to holders of our common stock in the foreseeable future. As a result, capital appreciation, if any, of our shares of common stock would be your sole source of gain on an investment in such shares for the foreseeable future.</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the Selling Securityholders pursuant to this prospectus supplement will be sold by the Selling Securityholders for their respective accounts. We cannot currently determine the price or prices at which such Securities may be sold by the Selling Securityholders. We will not receive any of the proceeds from these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selling commissions and stock transfer taxes applicable to the Securities that they incur in disposing of the Securities offered by this prospectus supplement. We will bear all other costs, fees and expenses incurred in effecting the registration of the Securities covered by this prospectus supplement.</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6"/>
      <w:bookmarkEnd w:id="7"/>
      <w:r>
        <w:rPr>
          <w:rFonts w:ascii="Times New Roman;Times;Serif" w:hAnsi="Times New Roman;Times;Serif"/>
          <w:b/>
          <w:i w:val="false"/>
          <w:caps w:val="false"/>
          <w:smallCaps w:val="false"/>
          <w:sz w:val="20"/>
        </w:rPr>
        <w:t>DESCRIPTION OF SECURITIES BEING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Company’s common stock and is not intended to be a complete summary of the rights and preferences of our common stock. The Company’s Amended and Restated Certificate of Incorporation, as amended (the “Certificate of Incorporation”), and Third Amended Restated Bylaws (the “Bylaws”) are incorporated by reference into this prospectus supplement. Read the applicable provisions of Delaware law, the Certificate of Incorporation and the Bylaws in their entirety for a complete description of the rights and preferences of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T1 Energy’s authorized capital stock consists of (i) 1,000,000,000 shares of common stock, par value $0.01 per share, and (ii) 10,000,000 shares of preferred stock, par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prior dividend rights of the holders of any preferred stock of T1 Energy and any other class or series of shares having a preference as to dividends over common stock, holders of shares of common stock are entitled to receive dividends when, as and if declared by the T1 Energy board of directors, out of funds legally available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outstanding share of common stock is entitled to one vote per share on each matter to be voted on by the holders of common stock. The holders of common stock are not entitled to cumulative voting of their shares in elections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xml:space="preserve"> In the event of any liquidation, dissolution or winding up (either voluntary of involuntary) of T1 Energy, the holders of common 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common stock is currently listed on the NYSE under the symbol “TE.”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7701(a)(51)(E)(iii) of the Code, an entity that is a publicly traded company or a subsidiary of a publicly traded company is a foreign-influenced entity if, during the taxable year, one or more Specified Foreign Entities (as defined herein) that are each required to report their beneficial ownership under Rule 13d-3 of the Exchange Act own, in the aggregate, not less than 40% of such entity (the “Aggregated Equity 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T1 Energy’s Certificate of Incorporation was amended to establish a restriction of ownership of T1 Energy’s capital stock by Specified Foreign Entities in order to 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T1 Energy is authorized to effect any and all measures and to make any and all determinations reasonably necessary or desirable (consistent with applicable laws, the Certificate of Incorporation and the Bylaws) to, without limitation:</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tc>
      </w:tr>
    </w:tbl>
    <w:p>
      <w:pPr>
        <w:pStyle w:val="TextBody"/>
        <w:bidi w:val="0"/>
        <w:spacing w:before="0" w:after="0"/>
        <w:ind w:left="1080" w:right="0" w:hanging="3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S-5</w:t>
            </w:r>
          </w:p>
        </w:tc>
      </w:tr>
    </w:tbl>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share transfer records of T1 Energy in such a manner so that the percentage of any class of shares of T1 Energy’s common stock or preferred stock that is owned by Specified Foreign Entities can be determined and confirmed;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T1 Energy’s common stock or preferred stock that does not comply with the Certificate of Incorporation will be void and ineffective as against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DGCL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such time the board of directors of the corporation approved either the business combination or the transaction which resulted in the stockholder becoming an interested stockholder;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shares of T1 Energy and any entity or person affiliated with or controlling or controlled by the entity or person.</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 and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 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 or public disclosure of the date of the special meeting of stockholders was made, whichever first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special meetings of stockholders, for any purpose or purposes, may be called only by (i) 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Derivative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T1 Energy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T1 Energy common stock and preferred stock could render more difficult or discourage an attempt to obtain control over T1 Energy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our bylaws and certificate of incorporation could enable a minority of our stockholders to exercise veto power over any such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our management.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of Personal Liability of Directors/Officers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such elimination of liability is permitted (i) for any breach of the director’s duty of loyalty to T1 Energy or its stockholders, (ii) 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Forum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Our stockholders will not be deemed to have waived our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 Accordingly, actions by our stockholders to enforce any duty or liability created by the Exchange Act or the rules and regulations thereunder must be brought in federal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7"/>
      <w:bookmarkEnd w:id="8"/>
      <w:r>
        <w:rPr>
          <w:rFonts w:ascii="Times New Roman;Times;Serif" w:hAnsi="Times New Roman;Times;Serif"/>
          <w:b/>
          <w:i w:val="false"/>
          <w:caps w:val="false"/>
          <w:smallCaps w:val="false"/>
          <w:sz w:val="20"/>
        </w:rPr>
        <w:t>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offered by the Selling Securityholders on their behalf pursuant to the terms of the IP Purchase Agreement. When we refer to the “Selling Securityholders” in this prospectus supplement, we mean the person(s) listed in the table below (as such table may be amended from time to time by means of a prospectus supplement or a post-effective amendment to the registration statement of which this prospectus supplement forms a part), and any pledgees, donees, transferees, assignees, successors, designees and others who later come to hold any of the Selling Securityholders’ interest in the common stock set forth below other than through a public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pursuant to this prospectus supplement any or all of the shares of common stock issued to them. The table below sets forth the number of shares of common stock that the Selling Securityholders may offer and sell pursuant to this prospectus supplement, as well as such Selling Securityholder’s beneficial ownership of our common stock prior to and following the sale of Securities covered by this prospectus supplement (assuming all such Securities are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Evervolt have agreed that the issuance of any shares of common stock in satisfaction of any tranche of the Purchase Price payments under the IP Purchase Agreement will be deferred (in whole or in part) if such issuance would cause Evervolt to beneficially own more than 4.99% of the then outstanding shares of the common stock (the “Ownership Limitation”). The Ownership Limitation may be increased by Evervolt at any time upon written notice to us; provided, that any such increase shall not become effective until the 61st day following receipt of such notice and in no event shall the Ownership Limitation be increased to exceed 19.9%. Shares of common stock payable under the IP Purchase Agreement, the issuance of which have been deferred under the Ownership Limitation, may be issued (in whole or in part) upon five business days prior notice to the Company, subject to continued compliance with the Ownership Limitation; provided, however, that the Company shall not be required to issue less than 2.5 million shares of Common Stock in a single issuance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below is based primarily on information provided by or on behalf of the Selling Securityholders prior to the date hereof, including such Selling Securityholder’s beneficial ownership of our common stock. From and after the date on which such information was provided, a Selling Securityholder may have sold, transferred or otherwise disposed of, and may in the future sell, transfer or otherwise dispose of, some or all of the common stock indicated below in transactions exempt from the registration requirements of the Securities Act rather than under this prospectus supplement. In addition, because no Selling Securityholder is obligated to sell the Securities offered hereby, we cannot advise you as to whether or when a Selling Securityholder will in fact sell any or all of such common stock, or the amount of shares, if any, a Selling Securityholder will beneficially own upon consummation of any such sale. For purposes of the table below, we have assumed that the Selling Securityholders will not acquire beneficial ownership of any additional securities of ours during the offering and will have sold all of the Securities covered by this prospectus supplement upon the completion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 and accompanying footnotes have or will have sole voting and sole investment power with respect to all securities of ours that they beneficially own, subject to community property laws where applicable. Except as otherwise described below, based on the information provided to us by the Selling Securityholders, no Selling Securityholder is a broker-dealer or an affiliate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for each additional Selling Securityholder, if any, will be set forth by this prospectus supplement to the extent required prior to the time of any offer or sale by such Selling Securityholder of the Securities pursuant to this prospectus supplement. Any prospectus supplement may add, update, substitute or change the information contained in this prospectus supplement, including the identity of a Selling Securityholder and the number of shares registered on its, his, her or their behalf. A Selling Securityholder may sell or otherwise transfer all, some or none of such shares in this offering. See “Plan of Distribution.”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0"/>
        <w:gridCol w:w="60"/>
        <w:gridCol w:w="135"/>
        <w:gridCol w:w="2173"/>
        <w:gridCol w:w="205"/>
        <w:gridCol w:w="60"/>
        <w:gridCol w:w="123"/>
        <w:gridCol w:w="1768"/>
        <w:gridCol w:w="205"/>
        <w:gridCol w:w="60"/>
        <w:gridCol w:w="120"/>
        <w:gridCol w:w="1872"/>
        <w:gridCol w:w="120"/>
        <w:gridCol w:w="120"/>
        <w:gridCol w:w="239"/>
        <w:gridCol w:w="690"/>
        <w:gridCol w:w="205"/>
      </w:tblGrid>
      <w:tr>
        <w:trPr/>
        <w:tc>
          <w:tcPr>
            <w:tcW w:w="2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0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Shares of Common Stock Beneficially Owned </w:t>
              <w:br/>
              <w:t xml:space="preserve">Prior to </w:t>
            </w:r>
          </w:p>
        </w:tc>
        <w:tc>
          <w:tcPr>
            <w:tcW w:w="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9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Shares of Common Stock Offered </w:t>
            </w:r>
          </w:p>
        </w:tc>
        <w:tc>
          <w:tcPr>
            <w:tcW w:w="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Beneficially Owned After Completion of this Offering</w:t>
            </w:r>
          </w:p>
        </w:tc>
        <w:tc>
          <w:tcPr>
            <w:tcW w:w="205" w:type="dxa"/>
            <w:tcBorders/>
            <w:vAlign w:val="center"/>
          </w:tcPr>
          <w:p>
            <w:pPr>
              <w:pStyle w:val="TableContents"/>
              <w:bidi w:val="0"/>
              <w:spacing w:before="0" w:after="283"/>
              <w:jc w:val="center"/>
              <w:rPr/>
            </w:pPr>
            <w:r>
              <w:rPr/>
              <w:t> </w:t>
            </w:r>
          </w:p>
        </w:tc>
      </w:tr>
      <w:tr>
        <w:trPr/>
        <w:tc>
          <w:tcPr>
            <w:tcW w:w="20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p>
        </w:tc>
        <w:tc>
          <w:tcPr>
            <w:tcW w:w="60" w:type="dxa"/>
            <w:tcBorders/>
            <w:vAlign w:val="center"/>
          </w:tcPr>
          <w:p>
            <w:pPr>
              <w:pStyle w:val="TableContents"/>
              <w:bidi w:val="0"/>
              <w:spacing w:before="0" w:after="283"/>
              <w:jc w:val="center"/>
              <w:rPr/>
            </w:pPr>
            <w:r>
              <w:rPr/>
              <w:t> </w:t>
            </w:r>
          </w:p>
        </w:tc>
        <w:tc>
          <w:tcPr>
            <w:tcW w:w="230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Offering</w:t>
            </w:r>
          </w:p>
        </w:tc>
        <w:tc>
          <w:tcPr>
            <w:tcW w:w="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9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12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center"/>
              <w:rPr/>
            </w:pPr>
            <w:r>
              <w:rPr/>
              <w:t> </w:t>
            </w:r>
          </w:p>
        </w:tc>
        <w:tc>
          <w:tcPr>
            <w:tcW w:w="9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05" w:type="dxa"/>
            <w:tcBorders/>
            <w:vAlign w:val="center"/>
          </w:tcPr>
          <w:p>
            <w:pPr>
              <w:pStyle w:val="TableContents"/>
              <w:bidi w:val="0"/>
              <w:spacing w:before="0" w:after="283"/>
              <w:jc w:val="center"/>
              <w:rPr/>
            </w:pPr>
            <w:r>
              <w:rPr/>
              <w:t> </w:t>
            </w:r>
          </w:p>
        </w:tc>
      </w:tr>
      <w:tr>
        <w:trPr/>
        <w:tc>
          <w:tcPr>
            <w:tcW w:w="2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Evervolt Green Energy Holding Pte, Ltd.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14,473,873</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(3)</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7,246,377</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(4)</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9,473,873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beneficial ownership after this offering is calculated based on 299,498,878 shares of common stock outstanding as of October 5, 2026, plus 2,246,377 Abeyance Shares that may be issued to Evervolt Green Energy Holding Pte, Ltd. under the Ownership Limitation. Unless otherwise indicated, we believe that all persons named in the table have sole voting and investment power with respect to all shares beneficially owned by them.</w:t>
            </w:r>
          </w:p>
        </w:tc>
      </w:tr>
      <w:tr>
        <w:trPr/>
        <w:tc>
          <w:tcPr>
            <w:tcW w:w="215"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Evervolt Green Energy Holding Pte, Ltd. is 18, Boon Lay Way, #06-107, Trade Hub 21, Singapore 609966. Tan Chin Piaw is the ultimate beneficial owner of and has voting and investment control over securities beneficially held by Evervolt Green Energy Holding Pte, Ltd.  </w:t>
            </w:r>
          </w:p>
        </w:tc>
      </w:tr>
      <w:tr>
        <w:trPr/>
        <w:tc>
          <w:tcPr>
            <w:tcW w:w="215"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beneficially owned prior to the offering excludes 2,246,377 Abeyance Shares that are not currently issuable under to the Ownership Limitation.  </w:t>
            </w:r>
          </w:p>
        </w:tc>
      </w:tr>
      <w:tr>
        <w:trPr/>
        <w:tc>
          <w:tcPr>
            <w:tcW w:w="215"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number of shares offered hereby includes the Abeyance Shares. </w:t>
            </w:r>
          </w:p>
        </w:tc>
      </w:tr>
    </w:tbl>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by the Selling Securityholders up to 7,246,377 shares of common stock to permit the Selling Securityholders to conduct public secondary trading of these securities from time to time after the date of this prospectus supplement. The Selling Securityholders may offer, sell, transfer, distribute, or otherwise dispose of all or a portion of the Securities publicly or through private transactions at fixed prices, prevailing market prices or at negotiated prices, or at market prices prevailing at the time of sale. We will not receive any of the proceeds of the sale of the Securities offered by the Selling Securityholders. The aggregate proceeds to the Selling Securityholders from the sale of the Securities will be the purchase price of the Securities less any discounts and commissions. We are paying certain expenses (other than commissions and discounts of underwriters, brokers, dealers or agents) incidental to the offering and sale of the Securities covered by this prospectus supplement by the Selling Securityholders to the public. The Selling Securityholders reserve the right to accept and, together with their respective agents, to reject, any proposed purchases of Securities to be made directly or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by the Selling Securityholders may be sold from time to time to purchasers:</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by the Selling Securityholders,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underwriters, broker-dealers or agents, who may receive compensation in the form of discounts, commissions or agent’s commissions from the Selling Securityholders or the purchasers of the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broker-dealers or agents who participate in the sale or distribution of the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supplement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securities by the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in one or more transactions at:</w:t>
      </w:r>
    </w:p>
    <w:p>
      <w:pPr>
        <w:pStyle w:val="TextBody"/>
        <w:bidi w:val="0"/>
        <w:spacing w:before="0" w:after="0"/>
        <w:ind w:left="1440" w:right="0" w:hanging="36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market prices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related to such prevailing market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prices determined at the time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sales may be effected in one or more transactions, subject to the terms of the IP Purchase Agreement:</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 including NYSE;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otherwise than on such exchanges or services or 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common stock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their members, employees, partners or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on which the registration statement of which this prospectus supplement forms a part is declared effective by the SEC;</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 transactions, including transactions on a national securities exchange or quotations service or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Securityholders to sell a specified number of such common stock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combination of the foregoing.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may include block transactions or crosses. Crosses are transactions in which the same broker acts as an agent on both sides of the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offering of the Securities is made, a prospectus supplement may be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supplement for certain periods of time for certain reasons, including if the prospectus supplement is required to be supplemented or amended to include additional material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Exchange Act, trades in the secondary market generally are required to settle in one business day, unless the parties to any such trade expressly agree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in respect of any given offering will be described in the applicable prospectus supplement and/or any related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date of delivery of offered Securities will be set forth in the applicable prospectus supplement and/or any related free writing prospectus relating to each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act independently of us in making decisions with respect to the timing, manner, and size of each resale or other transfer. There can be no assurance that the Selling Securityholders will sell any or all of the Securities under this prospectus supplement. Further, we cannot assure you that the Selling Securityholders will not transfer, distribute, devise or gift the Securities by other means not described in this prospectus supplement. In addition, any Securities covered by this prospectus supplement that qualify for sale under Rule 144 of the Securities Act may be sold under Rule 144 rather than under this prospectus supplement. The Securities may be sold in some states only through registered or licensed brokers or dealers. In addition, in some states the Securities may not be sold unless they have been registered or qualified for sale or an exemption from registration or qualification is available and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other person participating in the sale of the Securities will be subject to the Exchange Act. The Exchange Act rules include, without limitation, Regulation M, which may limit the timing of purchases and sales of any of the Securities by the Selling Securityholders and any other person. In addition, Regulation M may restrict the ability of any person engaged in the distribution of the Securities to engage in market-making activities with respect to the particular Securities being distributed.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may affect the marketability of the Securities and the ability of any person or entity to engage in market-making activities with respect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pledge or grant a security interest in some of the Securities owned by them and, if a Selling Securityholder defaults in the performance of its secured obligations, the pledgees or secured parties may offer and sell such Securities from time to time under this prospectus supplement or under a post-effective amendment to the registration statement of which this prospectus supplement forms a part or any accompanying prospectus supplement amending the list of the Selling Securityholders to include the pledgee, transferee or other successors in interest as the Selling Securityholders under this prospectus supplement. The Selling Securityholders also may transfer the Securities in other circumstances, in which case the transferees, pledgees or other successors in interest will be the selling beneficial owners for purposes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expenses of registration, see the section titled “Use of Proceeds” appearing elsewhere in this prospectus supplement.</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has been passed upon for T1 Energy by Skadden, Arps, Slate, Meagher &amp; Flom LLP, Houston, Texas.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T1 Energy Inc. as of December 31, 2025, and for the year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December 31, 2024 and for the fiscal year ended December 31, 2024 (before the effects of the adjustments to retrospectively present the reclassification of certain amounts that had previously been classified as held for sale and were reclassified as held and used as of December 31, 2025) incorporated in this prospectus supplement by reference to the Annual Report on Form 10-K for the year ended December 31, 2025 have been so incorporated in reliance on the report of PricewaterhouseCoopers AS, an independent registered public accounting firm, given on the authority of said firm as experts in auditing and accounting. PricewaterhouseCoopers AS is a member of Den norske Revisorforening.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including exhibits, under the Securities Act with respect to the securities being offered by this prospectus supplement. The registration statement, including exhibits, contains additional relevant information about us and the Securities. This prospectus supplement, which constitutes part of the registration statement, does not contain all of the information set forth in the registration statement and its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under the Exchange Act. Our SEC filings are available to the public at the SEC’s website at </w:t>
      </w:r>
      <w:r>
        <w:rPr>
          <w:rFonts w:ascii="Times New Roman;Times;Serif" w:hAnsi="Times New Roman;Times;Serif"/>
          <w:b w:val="false"/>
          <w:i/>
          <w:caps w:val="false"/>
          <w:smallCaps w:val="false"/>
          <w:sz w:val="20"/>
        </w:rPr>
        <w:t>https://www.sec.gov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_12"/>
      <w:bookmarkEnd w:id="13"/>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information we file with the SEC in other documents. This means that we can disclose important information to you by referring to another document we filed with the SEC. The information relating to us contained in this prospectus supplement should be read together with the information in the documents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Form 10-K/A</w:t>
              </w:r>
            </w:hyperlink>
            <w:r>
              <w:rPr>
                <w:rFonts w:ascii="Times New Roman;Times;Serif" w:hAnsi="Times New Roman;Times;Serif"/>
                <w:b w:val="false"/>
                <w:i w:val="false"/>
                <w:caps w:val="false"/>
                <w:smallCaps w:val="false"/>
                <w:sz w:val="20"/>
              </w:rPr>
              <w:t xml:space="preserve"> for the fiscal year ended December 31, 2025, filed with the SEC on March 31, 2026 and April 30, 2026,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Quarterly Reports on Form 10-Q for the quarterly periods ended </w:t>
            </w:r>
            <w:hyperlink r:id="rId5">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with the SEC on May 12, 2026 and August 12, 2026,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Current Reports on Form 8-K filed with the SEC on </w:t>
            </w:r>
            <w:hyperlink r:id="rId7">
              <w:r>
                <w:rPr>
                  <w:rStyle w:val="InternetLink"/>
                  <w:rFonts w:ascii="Times New Roman;Times;Serif" w:hAnsi="Times New Roman;Times;Serif"/>
                  <w:b w:val="false"/>
                  <w:i w:val="false"/>
                  <w:caps w:val="false"/>
                  <w:smallCaps w:val="false"/>
                  <w:sz w:val="20"/>
                </w:rPr>
                <w:t>January 21, 2026</w:t>
              </w:r>
            </w:hyperlink>
            <w:r>
              <w:rPr>
                <w:rFonts w:ascii="Times New Roman;Times;Serif" w:hAnsi="Times New Roman;Times;Serif"/>
                <w:b w:val="false"/>
                <w:i w:val="false"/>
                <w:caps w:val="false"/>
                <w:smallCaps w:val="false"/>
                <w:sz w:val="20"/>
              </w:rPr>
              <w:t>, </w:t>
            </w:r>
            <w:hyperlink r:id="rId8">
              <w:r>
                <w:rPr>
                  <w:rStyle w:val="InternetLink"/>
                  <w:rFonts w:ascii="Times New Roman;Times;Serif" w:hAnsi="Times New Roman;Times;Serif"/>
                  <w:b w:val="false"/>
                  <w:i w:val="false"/>
                  <w:caps w:val="false"/>
                  <w:smallCaps w:val="false"/>
                  <w:sz w:val="20"/>
                </w:rPr>
                <w:t>February 6, 2026</w:t>
              </w:r>
            </w:hyperlink>
            <w:r>
              <w:rPr>
                <w:rFonts w:ascii="Times New Roman;Times;Serif" w:hAnsi="Times New Roman;Times;Serif"/>
                <w:b w:val="false"/>
                <w:i w:val="false"/>
                <w:caps w:val="false"/>
                <w:smallCaps w:val="false"/>
                <w:sz w:val="20"/>
              </w:rPr>
              <w:t>, </w:t>
            </w:r>
            <w:hyperlink r:id="rId9">
              <w:r>
                <w:rPr>
                  <w:rStyle w:val="InternetLink"/>
                  <w:rFonts w:ascii="Times New Roman;Times;Serif" w:hAnsi="Times New Roman;Times;Serif"/>
                  <w:b w:val="false"/>
                  <w:i w:val="false"/>
                  <w:caps w:val="false"/>
                  <w:smallCaps w:val="false"/>
                  <w:sz w:val="20"/>
                </w:rPr>
                <w:t>February 18,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(solely with respect to Item 5.02), </w:t>
            </w:r>
            <w:hyperlink r:id="rId11">
              <w:r>
                <w:rPr>
                  <w:rStyle w:val="InternetLink"/>
                  <w:rFonts w:ascii="Times New Roman;Times;Serif" w:hAnsi="Times New Roman;Times;Serif"/>
                  <w:b w:val="false"/>
                  <w:i w:val="false"/>
                  <w:caps w:val="false"/>
                  <w:smallCaps w:val="false"/>
                  <w:sz w:val="20"/>
                </w:rPr>
                <w:t>April 17,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April 27,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June 17,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June 29,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July 28, 2026</w:t>
              </w:r>
            </w:hyperlink>
            <w:r>
              <w:rPr>
                <w:rFonts w:ascii="Times New Roman;Times;Serif" w:hAnsi="Times New Roman;Times;Serif"/>
                <w:b w:val="false"/>
                <w:i w:val="false"/>
                <w:caps w:val="false"/>
                <w:smallCaps w:val="false"/>
                <w:sz w:val="20"/>
              </w:rPr>
              <w:t xml:space="preserve"> (solely with respect to Items 1.01, 1.02, 2.01 and 3.02), </w:t>
            </w:r>
            <w:hyperlink r:id="rId17">
              <w:r>
                <w:rPr>
                  <w:rStyle w:val="InternetLink"/>
                  <w:rFonts w:ascii="Times New Roman;Times;Serif" w:hAnsi="Times New Roman;Times;Serif"/>
                  <w:b w:val="false"/>
                  <w:i w:val="false"/>
                  <w:caps w:val="false"/>
                  <w:smallCaps w:val="false"/>
                  <w:sz w:val="20"/>
                </w:rPr>
                <w:t>July 28, 2026</w:t>
              </w:r>
            </w:hyperlink>
            <w:r>
              <w:rPr>
                <w:rFonts w:ascii="Times New Roman;Times;Serif" w:hAnsi="Times New Roman;Times;Serif"/>
                <w:b w:val="false"/>
                <w:i w:val="false"/>
                <w:caps w:val="false"/>
                <w:smallCaps w:val="false"/>
                <w:sz w:val="20"/>
              </w:rPr>
              <w:t xml:space="preserve"> (solely with respect to Item 8.01), </w:t>
            </w:r>
            <w:hyperlink r:id="rId18">
              <w:r>
                <w:rPr>
                  <w:rStyle w:val="InternetLink"/>
                  <w:rFonts w:ascii="Times New Roman;Times;Serif" w:hAnsi="Times New Roman;Times;Serif"/>
                  <w:b w:val="false"/>
                  <w:i w:val="false"/>
                  <w:caps w:val="false"/>
                  <w:smallCaps w:val="false"/>
                  <w:sz w:val="20"/>
                  <w:u w:val="single"/>
                </w:rPr>
                <w:t>July 30,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u w:val="single"/>
                </w:rPr>
                <w:t>August 7,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u w:val="single"/>
                </w:rPr>
                <w:t>August 28, 2026</w:t>
              </w:r>
            </w:hyperlink>
            <w:r>
              <w:rPr>
                <w:rFonts w:ascii="Times New Roman;Times;Serif" w:hAnsi="Times New Roman;Times;Serif"/>
                <w:b w:val="false"/>
                <w:i w:val="false"/>
                <w:caps w:val="false"/>
                <w:smallCaps w:val="false"/>
                <w:sz w:val="20"/>
              </w:rPr>
              <w:t xml:space="preserve"> and </w:t>
            </w:r>
            <w:hyperlink r:id="rId22">
              <w:r>
                <w:rPr>
                  <w:rStyle w:val="InternetLink"/>
                  <w:rFonts w:ascii="Times New Roman;Times;Serif" w:hAnsi="Times New Roman;Times;Serif"/>
                  <w:b w:val="false"/>
                  <w:i w:val="false"/>
                  <w:caps w:val="false"/>
                  <w:smallCaps w:val="false"/>
                  <w:sz w:val="20"/>
                  <w:u w:val="single"/>
                </w:rPr>
                <w:t>September 29,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the definitive Proxy Statement on </w:t>
            </w:r>
            <w:hyperlink r:id="rId23">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filed with the SEC on May 18, 2026;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set forth in our Current Report on </w:t>
            </w:r>
            <w:hyperlink r:id="rId24">
              <w:r>
                <w:rPr>
                  <w:rStyle w:val="InternetLink"/>
                  <w:rFonts w:ascii="Times New Roman;Times;Serif" w:hAnsi="Times New Roman;Times;Serif"/>
                  <w:b w:val="false"/>
                  <w:i w:val="false"/>
                  <w:caps w:val="false"/>
                  <w:smallCaps w:val="false"/>
                  <w:sz w:val="20"/>
                </w:rPr>
                <w:t>Form 8-K12B</w:t>
              </w:r>
            </w:hyperlink>
            <w:r>
              <w:rPr>
                <w:rFonts w:ascii="Times New Roman;Times;Serif" w:hAnsi="Times New Roman;Times;Serif"/>
                <w:b w:val="false"/>
                <w:i w:val="false"/>
                <w:caps w:val="false"/>
                <w:smallCaps w:val="false"/>
                <w:sz w:val="20"/>
              </w:rPr>
              <w:t xml:space="preserve">, filed with the SEC on January 2, 2024, as updated by the description of the Company’s common stock contained in </w:t>
            </w:r>
            <w:hyperlink r:id="rId25">
              <w:r>
                <w:rPr>
                  <w:rStyle w:val="InternetLink"/>
                  <w:rFonts w:ascii="Times New Roman;Times;Serif" w:hAnsi="Times New Roman;Times;Serif"/>
                  <w:b w:val="false"/>
                  <w:i w:val="false"/>
                  <w:caps w:val="false"/>
                  <w:smallCaps w:val="false"/>
                  <w:sz w:val="20"/>
                </w:rPr>
                <w:t>Exhibit 4.8</w:t>
              </w:r>
            </w:hyperlink>
            <w:r>
              <w:rPr>
                <w:rFonts w:ascii="Times New Roman;Times;Serif" w:hAnsi="Times New Roman;Times;Serif"/>
                <w:b w:val="false"/>
                <w:i w:val="false"/>
                <w:caps w:val="false"/>
                <w:smallCaps w:val="false"/>
                <w:sz w:val="20"/>
              </w:rPr>
              <w:t xml:space="preserve"> to our Annual Report on </w:t>
            </w:r>
            <w:hyperlink r:id="rId26">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31, 2026, including any amendments or reports filed for the purpose of updating such description.</w:t>
            </w:r>
          </w:p>
        </w:tc>
      </w:tr>
    </w:tbl>
    <w:p>
      <w:pPr>
        <w:pStyle w:val="TextBody"/>
        <w:bidi w:val="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 and supplement the information provided in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incorporated by reference is considered to be part of this prospectus supplement, and information that we file later with the SEC and incorporate by reference in this prospectus supplement will automatically update and supersede this previously filed information, as applicable, including information in previously filed documents or reports that have been incorporated by reference into this prospectus supplement. Any statement so modified or superseded will not be deemed, except as so modified or superseded, to constitute a part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409-599-5706, or by sending a written request to T1 Energy Inc., 1211 E 4th St. Austin, Texas 78702, Attention: Jeffery Spittel. Exhibits to any documents incorporated by reference in this prospectus supplement will not be sent, however, unless those exhibits have specifically been incorporated by reference into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else to provide you with different information. You should not assume that the information in this prospectus supplement is accurate as of any date other than the date on the front of those documents or as of any earlier date as of which such information is given.</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T1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7825"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1647825" cy="742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together or separately: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3"/>
        <w:gridCol w:w="9761"/>
      </w:tblGrid>
      <w:tr>
        <w:trPr/>
        <w:tc>
          <w:tcPr>
            <w:tcW w:w="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both"/>
              <w:rPr/>
            </w:pPr>
            <w:r>
              <w:rPr/>
              <w:t>shares of our common stock (as defined herein);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pPr>
            <w:r>
              <w:rPr/>
              <w:t>shares of our preferred stock, which may be issued in one or more series;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debt securities, which may be issued in one or more series and which may be senior debt securities or subordinated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pPr>
            <w:r>
              <w:rPr/>
              <w:t>warrants to purchase shares of our common stock, shares of our preferred stock or our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subscription rights to purchase shares of our common stock, shares of our preferred stock or debt securities; and </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purchase units comprised of two or more of the securities described in this prospectus, in any combination.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selling securityholders to be identified in supplements to this prospectus may offer and sell these securities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sell securities unless accompanied by a prospectus supplement.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AND YOU SHOULD READ THIS PROSPECTUS AND ANY ACCOMPANYING PROSPECTUS SUPPLEMENT BEFORE YOU INVEST. SEE “RISK FACTORS” BEGINNING ON PAGE 2 OF THIS PROSPECTUS AND ANY SIMILAR SECTION INCLUDED IN ANY ACCOMPANYING PROSPECTUS SUPPLEMENT AND IN THE DOCUMENTS INCORPORATED BY REFERENCE IN THIS PROSPECTUS. YOU SHOULD CAREFULLY CONSIDER THESE FACTORS BEFORE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(as defined herein) are listed on the New York Stock Exchange (“NYSE”) under the symbols “TE” and “TE WS,” respectively. On January 20, 2026, the closing price of our common stock was $8.28 and the closing price of our Public Warrants was $1.65. Each prospectus supplement will indicate if the securities offered thereby will be listed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January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20" w:right="0" w:hanging="72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shd w:fill="CCEEFF" w:val="clear"/>
            <w:vAlign w:val="center"/>
          </w:tcPr>
          <w:p>
            <w:pPr>
              <w:pStyle w:val="TableContents"/>
              <w:bidi w:val="0"/>
              <w:spacing w:before="0" w:after="283"/>
              <w:ind w:left="0" w:right="0" w:hanging="720"/>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ind w:left="0" w:right="0" w:hanging="720"/>
              <w:jc w:val="center"/>
              <w:rPr/>
            </w:pPr>
            <w:r>
              <w:rPr/>
              <w:t>ii</w:t>
            </w:r>
          </w:p>
        </w:tc>
      </w:tr>
      <w:tr>
        <w:trPr/>
        <w:tc>
          <w:tcPr>
            <w:tcW w:w="8045" w:type="dxa"/>
            <w:tcBorders/>
            <w:shd w:fill="FFFF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275" w:type="dxa"/>
            <w:tcBorders/>
            <w:shd w:fill="FFFFFF" w:val="clear"/>
            <w:vAlign w:val="center"/>
          </w:tcPr>
          <w:p>
            <w:pPr>
              <w:pStyle w:val="TableContents"/>
              <w:bidi w:val="0"/>
              <w:spacing w:before="0" w:after="283"/>
              <w:ind w:left="0" w:right="0" w:hanging="720"/>
              <w:jc w:val="center"/>
              <w:rPr/>
            </w:pPr>
            <w:r>
              <w:rPr/>
              <w:t>iii</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OUR COMPANY</w:t>
              </w:r>
            </w:hyperlink>
          </w:p>
        </w:tc>
        <w:tc>
          <w:tcPr>
            <w:tcW w:w="275" w:type="dxa"/>
            <w:tcBorders/>
            <w:shd w:fill="CCEEFF" w:val="clear"/>
            <w:vAlign w:val="center"/>
          </w:tcPr>
          <w:p>
            <w:pPr>
              <w:pStyle w:val="TableContents"/>
              <w:bidi w:val="0"/>
              <w:spacing w:before="0" w:after="283"/>
              <w:ind w:left="0" w:right="0" w:hanging="720"/>
              <w:jc w:val="center"/>
              <w:rPr/>
            </w:pPr>
            <w:r>
              <w:rPr/>
              <w:t>1</w:t>
            </w:r>
          </w:p>
        </w:tc>
      </w:tr>
      <w:tr>
        <w:trPr/>
        <w:tc>
          <w:tcPr>
            <w:tcW w:w="8045"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275" w:type="dxa"/>
            <w:tcBorders/>
            <w:shd w:fill="FFFFFF" w:val="clear"/>
            <w:vAlign w:val="center"/>
          </w:tcPr>
          <w:p>
            <w:pPr>
              <w:pStyle w:val="TableContents"/>
              <w:bidi w:val="0"/>
              <w:spacing w:before="0" w:after="283"/>
              <w:ind w:left="0" w:right="0" w:hanging="720"/>
              <w:jc w:val="center"/>
              <w:rPr/>
            </w:pPr>
            <w:r>
              <w:rPr/>
              <w:t>2</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275" w:type="dxa"/>
            <w:tcBorders/>
            <w:shd w:fill="CCEEFF" w:val="clear"/>
            <w:vAlign w:val="center"/>
          </w:tcPr>
          <w:p>
            <w:pPr>
              <w:pStyle w:val="TableContents"/>
              <w:bidi w:val="0"/>
              <w:spacing w:before="0" w:after="283"/>
              <w:ind w:left="0" w:right="0" w:hanging="720"/>
              <w:jc w:val="center"/>
              <w:rPr/>
            </w:pPr>
            <w:r>
              <w:rPr/>
              <w:t>3</w:t>
            </w:r>
          </w:p>
        </w:tc>
      </w:tr>
      <w:tr>
        <w:trPr/>
        <w:tc>
          <w:tcPr>
            <w:tcW w:w="8045" w:type="dxa"/>
            <w:tcBorders/>
            <w:shd w:fill="FFFFFF" w:val="clear"/>
            <w:vAlign w:val="center"/>
          </w:tcPr>
          <w:p>
            <w:pPr>
              <w:pStyle w:val="TableContents"/>
              <w:bidi w:val="0"/>
              <w:spacing w:before="0" w:after="283"/>
              <w:jc w:val="left"/>
              <w:rPr/>
            </w:pPr>
            <w:hyperlink w:anchor="a_006">
              <w:r>
                <w:rPr>
                  <w:rStyle w:val="InternetLink"/>
                </w:rPr>
                <w:t>DESCRIPTION OF SECURITIES</w:t>
              </w:r>
            </w:hyperlink>
          </w:p>
        </w:tc>
        <w:tc>
          <w:tcPr>
            <w:tcW w:w="275" w:type="dxa"/>
            <w:tcBorders/>
            <w:shd w:fill="FFFFFF" w:val="clear"/>
            <w:vAlign w:val="center"/>
          </w:tcPr>
          <w:p>
            <w:pPr>
              <w:pStyle w:val="TableContents"/>
              <w:bidi w:val="0"/>
              <w:spacing w:before="0" w:after="283"/>
              <w:ind w:left="0" w:right="0" w:hanging="720"/>
              <w:jc w:val="center"/>
              <w:rPr/>
            </w:pPr>
            <w:r>
              <w:rPr/>
              <w:t>4</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275" w:type="dxa"/>
            <w:tcBorders/>
            <w:shd w:fill="CCEEFF" w:val="clear"/>
            <w:vAlign w:val="center"/>
          </w:tcPr>
          <w:p>
            <w:pPr>
              <w:pStyle w:val="TableContents"/>
              <w:bidi w:val="0"/>
              <w:spacing w:before="0" w:after="283"/>
              <w:ind w:left="0" w:right="0" w:hanging="720"/>
              <w:jc w:val="center"/>
              <w:rPr/>
            </w:pPr>
            <w:r>
              <w:rPr/>
              <w:t>5</w:t>
            </w:r>
          </w:p>
        </w:tc>
      </w:tr>
      <w:tr>
        <w:trPr/>
        <w:tc>
          <w:tcPr>
            <w:tcW w:w="8045" w:type="dxa"/>
            <w:tcBorders/>
            <w:shd w:fill="FFFFFF" w:val="clear"/>
            <w:vAlign w:val="center"/>
          </w:tcPr>
          <w:p>
            <w:pPr>
              <w:pStyle w:val="TableContents"/>
              <w:bidi w:val="0"/>
              <w:spacing w:before="0" w:after="283"/>
              <w:jc w:val="left"/>
              <w:rPr/>
            </w:pPr>
            <w:hyperlink w:anchor="a_008">
              <w:r>
                <w:rPr>
                  <w:rStyle w:val="InternetLink"/>
                </w:rPr>
                <w:t>DESCRIPTION OF DEBT SECURITIES</w:t>
              </w:r>
            </w:hyperlink>
          </w:p>
        </w:tc>
        <w:tc>
          <w:tcPr>
            <w:tcW w:w="275" w:type="dxa"/>
            <w:tcBorders/>
            <w:shd w:fill="FFFFFF" w:val="clear"/>
            <w:vAlign w:val="center"/>
          </w:tcPr>
          <w:p>
            <w:pPr>
              <w:pStyle w:val="TableContents"/>
              <w:bidi w:val="0"/>
              <w:spacing w:before="0" w:after="283"/>
              <w:ind w:left="0" w:right="0" w:hanging="720"/>
              <w:jc w:val="center"/>
              <w:rPr/>
            </w:pPr>
            <w:r>
              <w:rPr/>
              <w:t>13</w:t>
            </w:r>
          </w:p>
        </w:tc>
      </w:tr>
      <w:tr>
        <w:trPr/>
        <w:tc>
          <w:tcPr>
            <w:tcW w:w="8045" w:type="dxa"/>
            <w:tcBorders/>
            <w:shd w:fill="CCEEFF" w:val="clear"/>
            <w:vAlign w:val="center"/>
          </w:tcPr>
          <w:p>
            <w:pPr>
              <w:pStyle w:val="TableContents"/>
              <w:bidi w:val="0"/>
              <w:spacing w:before="0" w:after="283"/>
              <w:jc w:val="left"/>
              <w:rPr/>
            </w:pPr>
            <w:hyperlink w:anchor="m_001">
              <w:r>
                <w:rPr>
                  <w:rStyle w:val="InternetLink"/>
                </w:rPr>
                <w:t>DESCRIPTION OF EXISTING WARRANTS</w:t>
              </w:r>
            </w:hyperlink>
          </w:p>
        </w:tc>
        <w:tc>
          <w:tcPr>
            <w:tcW w:w="275" w:type="dxa"/>
            <w:tcBorders/>
            <w:shd w:fill="CCEEFF" w:val="clear"/>
            <w:vAlign w:val="center"/>
          </w:tcPr>
          <w:p>
            <w:pPr>
              <w:pStyle w:val="TableContents"/>
              <w:bidi w:val="0"/>
              <w:spacing w:before="0" w:after="283"/>
              <w:ind w:left="0" w:right="0" w:hanging="720"/>
              <w:jc w:val="center"/>
              <w:rPr/>
            </w:pPr>
            <w:r>
              <w:rPr/>
              <w:t>15</w:t>
            </w:r>
          </w:p>
        </w:tc>
      </w:tr>
      <w:tr>
        <w:trPr/>
        <w:tc>
          <w:tcPr>
            <w:tcW w:w="8045" w:type="dxa"/>
            <w:tcBorders/>
            <w:shd w:fill="FFFFFF" w:val="clear"/>
            <w:vAlign w:val="center"/>
          </w:tcPr>
          <w:p>
            <w:pPr>
              <w:pStyle w:val="TableContents"/>
              <w:bidi w:val="0"/>
              <w:spacing w:before="0" w:after="283"/>
              <w:jc w:val="left"/>
              <w:rPr/>
            </w:pPr>
            <w:hyperlink w:anchor="a_009">
              <w:r>
                <w:rPr>
                  <w:rStyle w:val="InternetLink"/>
                </w:rPr>
                <w:t>DESCRIPTION OF NEW WARRANTS</w:t>
              </w:r>
            </w:hyperlink>
          </w:p>
        </w:tc>
        <w:tc>
          <w:tcPr>
            <w:tcW w:w="275" w:type="dxa"/>
            <w:tcBorders/>
            <w:shd w:fill="FFFFFF" w:val="clear"/>
            <w:vAlign w:val="center"/>
          </w:tcPr>
          <w:p>
            <w:pPr>
              <w:pStyle w:val="TableContents"/>
              <w:bidi w:val="0"/>
              <w:spacing w:before="0" w:after="283"/>
              <w:ind w:left="0" w:right="0" w:hanging="720"/>
              <w:jc w:val="center"/>
              <w:rPr/>
            </w:pPr>
            <w:r>
              <w:rPr/>
              <w:t>19</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DESCRIPTION OF SUBSCRIPTION RIGHTS</w:t>
              </w:r>
            </w:hyperlink>
          </w:p>
        </w:tc>
        <w:tc>
          <w:tcPr>
            <w:tcW w:w="275" w:type="dxa"/>
            <w:tcBorders/>
            <w:shd w:fill="CCEEFF" w:val="clear"/>
            <w:vAlign w:val="center"/>
          </w:tcPr>
          <w:p>
            <w:pPr>
              <w:pStyle w:val="TableContents"/>
              <w:bidi w:val="0"/>
              <w:spacing w:before="0" w:after="283"/>
              <w:ind w:left="0" w:right="0" w:hanging="720"/>
              <w:jc w:val="center"/>
              <w:rPr/>
            </w:pPr>
            <w:r>
              <w:rPr/>
              <w:t>20</w:t>
            </w:r>
          </w:p>
        </w:tc>
      </w:tr>
      <w:tr>
        <w:trPr/>
        <w:tc>
          <w:tcPr>
            <w:tcW w:w="8045" w:type="dxa"/>
            <w:tcBorders/>
            <w:shd w:fill="FFFFFF" w:val="clear"/>
            <w:vAlign w:val="center"/>
          </w:tcPr>
          <w:p>
            <w:pPr>
              <w:pStyle w:val="TableContents"/>
              <w:bidi w:val="0"/>
              <w:spacing w:before="0" w:after="283"/>
              <w:jc w:val="left"/>
              <w:rPr/>
            </w:pPr>
            <w:hyperlink w:anchor="a_011">
              <w:r>
                <w:rPr>
                  <w:rStyle w:val="InternetLink"/>
                </w:rPr>
                <w:t>DESCRIPTION OF PURCHASE UNITS</w:t>
              </w:r>
            </w:hyperlink>
          </w:p>
        </w:tc>
        <w:tc>
          <w:tcPr>
            <w:tcW w:w="275" w:type="dxa"/>
            <w:tcBorders/>
            <w:shd w:fill="FFFFFF" w:val="clear"/>
            <w:vAlign w:val="center"/>
          </w:tcPr>
          <w:p>
            <w:pPr>
              <w:pStyle w:val="TableContents"/>
              <w:bidi w:val="0"/>
              <w:spacing w:before="0" w:after="283"/>
              <w:ind w:left="0" w:right="0" w:hanging="720"/>
              <w:jc w:val="center"/>
              <w:rPr/>
            </w:pPr>
            <w:r>
              <w:rPr/>
              <w:t>21</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SELLING SECURITYHOLDERS</w:t>
              </w:r>
            </w:hyperlink>
          </w:p>
        </w:tc>
        <w:tc>
          <w:tcPr>
            <w:tcW w:w="275" w:type="dxa"/>
            <w:tcBorders/>
            <w:shd w:fill="CCEEFF" w:val="clear"/>
            <w:vAlign w:val="center"/>
          </w:tcPr>
          <w:p>
            <w:pPr>
              <w:pStyle w:val="TableContents"/>
              <w:bidi w:val="0"/>
              <w:spacing w:before="0" w:after="283"/>
              <w:ind w:left="0" w:right="0" w:hanging="720"/>
              <w:jc w:val="center"/>
              <w:rPr/>
            </w:pPr>
            <w:r>
              <w:rPr/>
              <w:t>22</w:t>
            </w:r>
          </w:p>
        </w:tc>
      </w:tr>
      <w:tr>
        <w:trPr/>
        <w:tc>
          <w:tcPr>
            <w:tcW w:w="8045" w:type="dxa"/>
            <w:tcBorders/>
            <w:shd w:fill="FFFFFF" w:val="clear"/>
            <w:vAlign w:val="center"/>
          </w:tcPr>
          <w:p>
            <w:pPr>
              <w:pStyle w:val="TableContents"/>
              <w:bidi w:val="0"/>
              <w:spacing w:before="0" w:after="283"/>
              <w:jc w:val="left"/>
              <w:rPr/>
            </w:pPr>
            <w:hyperlink w:anchor="a_013">
              <w:r>
                <w:rPr>
                  <w:rStyle w:val="InternetLink"/>
                </w:rPr>
                <w:t>PLAN OF DISTRIBUTION</w:t>
              </w:r>
            </w:hyperlink>
          </w:p>
        </w:tc>
        <w:tc>
          <w:tcPr>
            <w:tcW w:w="275" w:type="dxa"/>
            <w:tcBorders/>
            <w:shd w:fill="FFFFFF" w:val="clear"/>
            <w:vAlign w:val="center"/>
          </w:tcPr>
          <w:p>
            <w:pPr>
              <w:pStyle w:val="TableContents"/>
              <w:bidi w:val="0"/>
              <w:spacing w:before="0" w:after="283"/>
              <w:ind w:left="0" w:right="0" w:hanging="720"/>
              <w:jc w:val="center"/>
              <w:rPr/>
            </w:pPr>
            <w:r>
              <w:rPr/>
              <w:t>23</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CCEEFF" w:val="clear"/>
            <w:vAlign w:val="center"/>
          </w:tcPr>
          <w:p>
            <w:pPr>
              <w:pStyle w:val="TableContents"/>
              <w:bidi w:val="0"/>
              <w:spacing w:before="0" w:after="283"/>
              <w:ind w:left="0" w:right="0" w:hanging="720"/>
              <w:jc w:val="center"/>
              <w:rPr/>
            </w:pPr>
            <w:r>
              <w:rPr/>
              <w:t>24</w:t>
            </w:r>
          </w:p>
        </w:tc>
      </w:tr>
      <w:tr>
        <w:trPr/>
        <w:tc>
          <w:tcPr>
            <w:tcW w:w="8045" w:type="dxa"/>
            <w:tcBorders/>
            <w:shd w:fill="FFFF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FFFFFF" w:val="clear"/>
            <w:vAlign w:val="center"/>
          </w:tcPr>
          <w:p>
            <w:pPr>
              <w:pStyle w:val="TableContents"/>
              <w:bidi w:val="0"/>
              <w:spacing w:before="0" w:after="283"/>
              <w:ind w:left="0" w:right="0" w:hanging="720"/>
              <w:jc w:val="center"/>
              <w:rPr/>
            </w:pPr>
            <w:r>
              <w:rPr/>
              <w:t>25</w:t>
            </w:r>
          </w:p>
        </w:tc>
      </w:tr>
      <w:tr>
        <w:trPr/>
        <w:tc>
          <w:tcPr>
            <w:tcW w:w="8045"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CCEEFF" w:val="clear"/>
            <w:vAlign w:val="center"/>
          </w:tcPr>
          <w:p>
            <w:pPr>
              <w:pStyle w:val="TableContents"/>
              <w:bidi w:val="0"/>
              <w:spacing w:before="0" w:after="283"/>
              <w:ind w:left="0" w:right="0" w:hanging="720"/>
              <w:jc w:val="center"/>
              <w:rPr/>
            </w:pPr>
            <w:r>
              <w:rPr/>
              <w:t>26</w:t>
            </w:r>
          </w:p>
        </w:tc>
      </w:tr>
      <w:tr>
        <w:trPr/>
        <w:tc>
          <w:tcPr>
            <w:tcW w:w="8045" w:type="dxa"/>
            <w:tcBorders/>
            <w:shd w:fill="FFFFFF" w:val="clear"/>
            <w:vAlign w:val="center"/>
          </w:tcPr>
          <w:p>
            <w:pPr>
              <w:pStyle w:val="TableContents"/>
              <w:bidi w:val="0"/>
              <w:spacing w:before="0" w:after="283"/>
              <w:jc w:val="left"/>
              <w:rPr/>
            </w:pPr>
            <w:hyperlink w:anchor="a_017">
              <w:r>
                <w:rPr>
                  <w:rStyle w:val="InternetLink"/>
                </w:rPr>
                <w:t>INCORPORATION OF CERTAIN DOCUMENTS BY REFERENCE</w:t>
              </w:r>
            </w:hyperlink>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an automatic registration statement on Form S-3 that we are filing with the SEC utilizing a “shelf” registration process as a “well-known seasoned issuer,” as defined in Rule 405 under the Securities Act of 1933, as amended (the “Securities Act”). Under this shelf registration process, we or selling securityholders may offer and sell, in one or more offerings, together or separately, the securities described in this prospectus. There is no limit on the aggregate number or amount of securities we may sell pursuant to the registration statement of which this prospectus is a part. This prospectus provides you with a general description of the securities we or selling securityholders may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If there is any inconsistency between the information in this prospectus and any applicable prospectus supplement or free writing prospectus, you should rely on the prospectus supplement or free writing prospectus, as applicable;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We urge you to read carefully this prospectus, any applicable prospectus supplement and any free writing prospectuses we may authorize for use in connection with a specific offering, together with the information incorporated herein by reference as described under the sections titled “Where You Can Find More Information” and “Incorporation of Certain Documents by Reference,” before buying any of the securities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and any applicable prospectus supplement, along with the information contained in any related free writing prospectuses we have authorized for use in connection with a specific offering. Neither we nor any selling securityholder has authorized any other person to provide you with different or additional information. If anyone provides you with different or inconsistent information, you should not rely on it. Neither we nor any selling securityholder takes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any applicable prospectus supplement and any related free writing prospectus that we may authorize for use in connection with this offering is accurate only as of the date on the front of such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stated or unless the context otherwise requires: references to the “Company,” “T1 Energy,” the “registrant,” “we,” “our,” “us” and similar terms are to T1 Energy Inc., a Delaware corporation, and where appropriate, its wholly-owned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2"/>
      <w:bookmarkEnd w:id="1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including the information and documents incorporated by reference herein and therein, contain forward-looking statements within the meaning of Section 27A of the Securities Act and Section 21E of the Securities Exchange Act of 1934, as amended (the “Exchange Act”). All statements other than statements of historical or current facts contained or incorporated by reference in this prospectus or any accompanying prospectus supplement may be forward-looking statements. Statements regarding our future results and timing of operations, expected performance and financial position, business strategy and plans and objectives of management for future operations, including, among others, statements regarding expected results and benefits arising from the business combination with Trina Solar (Schweiz) AG (“Trina”),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prospectus and any accompanying prospectus supplement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the heading “Risk Factors” in our most recent Annual Report on Form 10-K and in our subsequent Quarterly Reports on Form 10-Q. These factors include, but are not limited to, risks related to: (1) our ability to (i) construct and equip manufacturing facilities in a timely and cost-effective manner; (ii) target and retain customers and suppliers; (iii) attract and retain key employees and qualified personnel; (iv) protect our intellectual property; (v) comply with legal and environmental regulations; (vi) compete in international markets in light of export and import controls; (vii) incur substantially more debt; and (viii) remediate the material weakness in our internal control over financial reporting or otherwise maintain effective internal control over financial reporting; (2) the concentration of our operations in Texas and our dependence on a limited number of suppliers; (3) changes adversely affecting the flow of components and materials from international vendors, the costs of raw materials, components, equipment, and machinery; (4) general economic and geopolitical conditions, changes in applicable laws or regulations, including environmental, export control and tax laws and incentives and renewable energy targets, as well as international trade policies, including tariffs, on our products and our competitive position; (5) the outcome of any legal proceedings relating to our products and services, including intellectual property or product liability claims, commercial or contractual disputes, warranty claims, and other proceedings; and (6) the capital-intensive nature of our business and our ability to raise additional capital on attractive terms or service our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prospectus or any accompanying prospectus supplement, or the documents incorporated by reference herein or therein,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accompanying prospectus supplement,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prospectus or, in the case of the accompanying prospectus supplement or the documents incorporated by reference herein or therein, the date of any such document. Except as required by applicable law, we do not plan to publicly update or revise any forward-looking statement, whether as a result of any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3"/>
      <w:bookmarkEnd w:id="16"/>
      <w:r>
        <w:rPr>
          <w:rFonts w:ascii="Times New Roman;Times;Serif" w:hAnsi="Times New Roman;Times;Serif"/>
          <w:b/>
          <w:i w:val="false"/>
          <w:caps w:val="false"/>
          <w:smallCaps w:val="false"/>
          <w:sz w:val="20"/>
        </w:rPr>
        <w:t>OUR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is an energy solutions provider building an integrated U.S. supply chain for solar and batteries. We manufacture and sell photovoltaic (“PV”) solar modules in the United States for our U.S.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one of the leading solar manufacturing companies in the United States. Our PV solar module manufacturing facility in Wilmer, TX is operating and has an installed base of five gigawatts per annum. We believe our facility is one of the most technologically advanced PV solar module plants globally. T1 Energy produces PV solar modules that employ highly energy efficient Passivated Emitter and Rear Contact and Tunnel Oxide Passivated Contact technologies. We believe the superior performance characteristics of the PV solar modules that we manufacture and our domestic content will competitively differentiate T1 Energy in the U.S.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executing a phased development of the G2_Austin solar cell facility in Rockdale, Texas, which is expected to begin producing cells by the end of 2026, and create up to 1,800 full-time jobs.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registered and principal executive office is 1211 E 4th St. Austin, Texas 78702. The telephone number of our registered and principal executive office is 409-599-5706. Our investor relations website is located at </w:t>
      </w:r>
      <w:r>
        <w:rPr>
          <w:rFonts w:ascii="Times New Roman;Times;Serif" w:hAnsi="Times New Roman;Times;Serif"/>
          <w:b w:val="false"/>
          <w:i/>
          <w:caps w:val="false"/>
          <w:smallCaps w:val="false"/>
          <w:sz w:val="20"/>
        </w:rPr>
        <w:t>https://ir.t1energy.com/</w:t>
      </w:r>
      <w:r>
        <w:rPr>
          <w:rFonts w:ascii="Times New Roman;Times;Serif" w:hAnsi="Times New Roman;Times;Serif"/>
          <w:b w:val="false"/>
          <w:i w:val="false"/>
          <w:caps w:val="false"/>
          <w:smallCaps w:val="false"/>
          <w:sz w:val="20"/>
        </w:rPr>
        <w:t>, and its news site located at </w:t>
      </w:r>
      <w:r>
        <w:rPr>
          <w:rFonts w:ascii="Times New Roman;Times;Serif" w:hAnsi="Times New Roman;Times;Serif"/>
          <w:b w:val="false"/>
          <w:i/>
          <w:caps w:val="false"/>
          <w:smallCaps w:val="false"/>
          <w:sz w:val="20"/>
        </w:rPr>
        <w:t>https://ir.t1energy.com/news-releases/news-releases</w:t>
      </w:r>
      <w:r>
        <w:rPr>
          <w:rFonts w:ascii="Times New Roman;Times;Serif" w:hAnsi="Times New Roman;Times;Serif"/>
          <w:b w:val="false"/>
          <w:i w:val="false"/>
          <w:caps w:val="false"/>
          <w:smallCaps w:val="false"/>
          <w:sz w:val="20"/>
        </w:rPr>
        <w:t>, our X (f/k/a Twitter) account is located at https://x.com/T1_Energy, our LinkedIn account is located at https://www.linkedin.com/company/t1energy, and our Instagram account is located at https://www.instagram.com/t1_energy/. We use our investor relations website, our X account and our LinkedIn account as well as Daniel Barcelo’s X account (https://x.com/_danielbarcelo), LinkedIn account (https://www.linkedin.com/in/daniel-barcelo-b262a939/) and Instagram account (</w:t>
      </w:r>
      <w:r>
        <w:rPr>
          <w:rFonts w:ascii="Times New Roman;Times;Serif" w:hAnsi="Times New Roman;Times;Serif"/>
          <w:b w:val="false"/>
          <w:i/>
          <w:caps w:val="false"/>
          <w:smallCaps w:val="false"/>
          <w:sz w:val="20"/>
        </w:rPr>
        <w:t>https://www.instagram.com/danbarcelo/</w:t>
      </w:r>
      <w:r>
        <w:rPr>
          <w:rFonts w:ascii="Times New Roman;Times;Serif" w:hAnsi="Times New Roman;Times;Serif"/>
          <w:b w:val="false"/>
          <w:i w:val="false"/>
          <w:caps w:val="false"/>
          <w:smallCaps w:val="false"/>
          <w:sz w:val="20"/>
        </w:rPr>
        <w:t>)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our X account and our LinkedIn account, in addition to following press releases, SEC filings and public conference calls and webcasts. Our website, X account and our LinkedIn account, and the information contained therein, or that can be accessed through the website, is not deemed to be incorporated by reference in, and is not considered part of, this prospectus or any accompanying prospectus supplement, and you should not consider it a part of this prospectus or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4"/>
      <w:bookmarkEnd w:id="1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you decide whether to purchase any of our securities, in addition to the other information, documents or reports included or incorporated by reference into this prospectus and any accompanying prospectus supplement or other offering materials (including any free writing prospectus), you should carefully consider the risk factors described in the section titled “Risk Factors” in any prospectus supplement or free writing prospectus, our most recent Annual Report on Form 10-K, any Quarterly Reports on Form 10-Q and Current Reports on Form 8-K filed subsequent to such Annual Report on Form 10-K, each of which is incorporated by reference into this prospectus and any accompanying prospectus supplement in its entirety, and as the same may be amended, supplemented or superseded from time to time by our filings under the Exchange Act. For more information, see the sections titled “Where You Can Find Additional Information” and “Incorporation of Certain Documents by Reference” of this prospectus. These risks could materially and adversely affect our business, financial condition or operating results and could result in a partial or complete loss of your investment. Furthermore, additional risks and uncertainties not presently known to us, or that we currently deem immaterial, may also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5"/>
      <w:bookmarkEnd w:id="1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intend to use the net proceeds from the sale of the securities as set forth in the applicable prospectus supplement. </w:t>
      </w:r>
      <w:r>
        <w:rPr>
          <w:rFonts w:ascii="Times New Roman;Times;Serif" w:hAnsi="Times New Roman;Times;Serif"/>
          <w:b w:val="false"/>
          <w:i w:val="false"/>
          <w:caps w:val="false"/>
          <w:smallCaps w:val="false"/>
          <w:sz w:val="20"/>
        </w:rPr>
        <w:t>Unless otherwise set forth in a prospectus supplement, we will not receive any proceeds in connection with any sale of securities by a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6"/>
      <w:bookmarkEnd w:id="19"/>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summary descriptions of the securities we or selling securityholders may offer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7"/>
      <w:bookmarkEnd w:id="20"/>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Company’s securities and is not intended to be a complete summary of the rights and preferences of such securities. The Company’s Amended and Restated Certificate of Incorporation, as amended (the “Certificate of Incorporation”), and Third Amended and Restated Bylaws (the “Bylaws”) are incorporated by reference into this prospectus. Read the applicable provisions of Delaware law, the Certificate of Incorporation, the Bylaws and the Certificates of Designations (as defined herein) in their entirety for a complete description of the rights and preferences of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T1 Energy’s authorized capital stock consists of (i) 500,000,000 shares of common stock, par value $0.01 per share (the “common stock”), and (ii) 10,000,000 shares of preferred stock, par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prior dividend rights of the holders of any preferred stock of T1 Energy and any other class or series of shares having a preference as to dividends over common stock, holders of shares of common stock are entitled to receive dividends when, as and if declared by the T1 Energy board of directors, out of funds legally available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outstanding share of common stock is entitled to one vote per share on each matter to be voted on by the holders of common stock. The holders of common stock are not entitled to cumulative voting of their shares in elections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xml:space="preserve"> In the event of any liquidation, dissolution or winding up (either voluntary of involuntary) of T1 Energy, the holders of common 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common stock is currently listed on the NYSE under the symbol “TE.”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expressly authorizes T1 Energy’s board of directors to provide for the issuance of all or any preferred stock in one or more classes or series, and to fix for each such class or series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T1 Energy; or (iv) convertible into, or exchangeable for, shares of any other class or classes of stock, or of any other series of the same or any other class or classes of stock, of T1 Energy at such price or prices or at such rates of exchange and with such adjustments; all as may be stated in such resolution or resolutions. The issuance of preferred stock may have the effect of diluting the earnings per share and book value per share of common stock. In addition, the T1 Energy board of directors may issue preferred stock with voting rights or conversion rights that, if exercised, could adversely affect the voting power of the holders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Number and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filed the certificates of designations (the “Certificates of Designations”), designating (i) 1,600,000 shares of our preferred stock as “Series B Convertible Non-Voting Preferred Stock,” par value $0.01 per share, and (ii) 5,000,000 shares of our preferred stock as “Series B-1 Convertible Non-Voting Preferred Stock,” par value $0.01 per share. The number of shares of each such series may be increased or decreased by resolution of the T1 Energy board of directors; provided that no decrease shall reduce the number of shares of the respective series to a number less than that of the shares then outstanding. On October 31, 2025, T1 Energy entered into an Amended and Restated Stock Purchase Agreement (the “Stock Purchase Agreement”) with certain purchasers pursuant to which, in partial consideration for the redemption and cancellation of all then-issued and outstanding shares of T1 Energy’s Convertible Series A Preferred Stock, par value $0.01 per share (the “Series A Preferred Stock”), the purchasers agreed to purchase (i) 21,504,901 shares of common stock and (ii) 1,600,000 shares of T1 Energy’s Series B Convertible Non-Voting Preferred Stock, par value $0.01 per share (the “Series B Preferred Stock”). The purchasers also agreed to purchase 5,000,000 shares of T1 Energy’s Series B-1 Convertible Non-Voting Preferred Stock, par value $0.01 per share (the “Series B-1 Preferred Stock” and together with the Series B Preferred Stock, the “Outstanding Preferred Stock,” which represent all of the shares of preferred stock currently outstanding), at a price of $10.00 per share of Series B-1 Preferred Stock, for aggregate gross proceeds to T1 Energy of $50.0 million. The shares of Outstanding Preferred Stock have all of the rights, preferences and privileges set forth below and as more fully described in the Certificates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Ranking; Liquidation Preference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issued under the Stock Purchase Agreement ranks senior to the common stock but junior to all existing and future debt obligations of T1 Energy and has a liquidation preference equal to $10.00 per share of Outstanding Preferred Stock plus accrued but unpaid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subject to the rights of holders of any senior securities and after satisfaction of all liabilities and obligations to creditors of T1 Energy, before any distribution is made to holders of shares of junior securities, the holders of the Outstanding Preferred Stock will be entitled to receive liquidating distributions in the amount that is the greater of (i) the aggregate liquidation preference per share of Outstanding Preferred Stock and (ii) the amount of cash to which a holder would be entitled to receive in a liquidation with respect to such shares if they had been converted to common stock immediately prior to such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then-issued Series B Preferred Stock shall be convertible, at the option of the holders thereof, into shares of common stock (the “Underlying Shares”), up to an aggregate of 9,411,764 shares of common stock, in whole and not in part (subject to certain exceptions set forth in the Series B Certificate of Designations), based on a conversion price of $1.70 per share of common stock, assuming no accrued and unpaid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then-issued Series B-1 Preferred Stock shall be convertible, at the option of the holders thereof, into Underlying Shares, up to an aggregate of 26,315,789 shares of common stock, in whole and not in part (subject to certain exceptions set forth in the Series B-1 Certificate of Designations), based on the conversion price of $1.90 per share of common stock if the 10-Day VWAP (as defined in the Series B-1 Certificate of Designations) of the common stock immediately prior to the conversion date is $2.50 or more per share of common stock (being the greater of the conversion prices for the Series B-1 Preferred Stock), and assuming no accrued and unpaid dividends; the conversion price of the Series B-1 Preferred Stock will be reduced to $1.70 per share of common stock in the event that the 10-Day VWAP of the common stock immediately prior to the conversion date is less than $2.50 per share of common stock. Upon such reduction of the conversion price, each share of the then-issued Series B-1 Preferred Stock will be convertible into approximately 5.88 shares of common stock, up to an aggregate of approximately 29,411,764 shares of common stock, in whole and not in part (subject to certain exceptions set forth in the Series B-1 Certificate of Designations), based on the reduced conversion price (subject to dilution adjustments), and holders can expect to receive additional Underlying Shares as compared to the conversion price of $1.90 for the Series B-1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between the date of the Series B-1 Certificate of Designations and one year following the issuance of the Series B-1 Preferred Stock, T1 Energy issues any shares of any series of preferred stock with a conversion price for converting shares of such series of preferred stock into shares of common stock that is lower than the then applicable Series B-1 Conversion Price (such lower conversion price being referred to as the “Lower Conversion Price”) the Series B-1 Conversion Price shall automatically be adjusted to equal the Lower Conversion Price; provided, however, that in no event shall the Lower Conversion Price be adjusted to an amount below $1.05.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case of a stock split or similar event effected by T1 Energy, the conversion price shall be proportionally decreased so that the number of shares of common stock issuable on conversion of each share of such series shall be increased in proportion to such increase in the aggregate number of shares of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Outstanding Preferred Stock is prohibited from converting shares of Outstanding Preferred Stock into shares of common stock if, as a result of such conversion, such holder, together with its affiliates, would beneficially own more than 19.99% of the total number of shares of common stock issued and outstanding immediately after giving effect to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of control event in which T1 Energy is not the surviving or resulting corporation, the holders of Outstanding Preferred Stock will be entitled to receive the greater of: (i) the aggregate liquidation preference of the Outstanding Preferred Stock outstanding, including any accrued and unpaid dividends thereon to the closing date of the change of control event, and (ii) the amount of consideration that would be payable or issuable in such change of control transaction to a holder of the number of shares of common stock into which the shares of Outstanding Preferred Stock are convertible by their terms as of the closing date of the change of control event, provided that the holders will receive the same form of consideration to be received by holders of common stock in such change of control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has a maturity date of December 23, 2027 (the “Series B Maturity Date”). On the Series B Maturity Date, T1 Energy shall redeem the then-outstanding Series B Preferred Stock at $10.00 per share (up to an aggregate amount of $16.0 million assuming all shares of Series B Preferred Stock are fully issued and outstanding at the time of redemption) plus any accrued and unpaid dividends. Prior to the Series B Maturity Date, the Series B Preferred Stock will not be redeemable. In any case of redemption of shares of Series B Preferred Stock, T1 Energy shall, not less than 30 nor more than 60 days before the Series B Maturity Date, send to each holder notice of its intention to redeem such shares of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 Preferred Stock has a maturity date of December 23, 2027 (the “Series B-1 Maturity Date”). On the Series B-1 Maturity Date, T1 Energy shall redeem the then-outstanding Preferred Stock at $10.00 per share (up to an aggregate amount of $50.0 million assuming all shares of Series B-1 Preferred Stock are fully issued and outstanding at the time of redemption) plus any accrued and unpaid dividends. Prior to the Series B-1 Maturity Date, the Series B-1 Preferred Stock will not be redeemable. In any case of redemption of shares of Series B-1 Preferred Stock, T1 Energy shall, not less than 30 nor more than 60 days before the Series B-1 Maturity Date, send to each holder notice of its intention to redeem such shares of Series B-1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is not subject to any restriction on the repurchase or redemption of shares T1 Energy due to an arrearage in the payment of dividends or sinking fund installments.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carries a dividend rate of 6%, accruing on their issuance and payable in arrears (i) on the dividend date 18 months after their issuance (ii) every six months after such dividend payment date. Dividends may be payable in cash, securities or other property as may be determined by T1 Energy’s board of directors or any of its duly authorized committees. Any dividends will be paid net of any required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customary representations and warranties, closing conditions and terms were included in the Stock Purchase Agreement and the Certificates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7701(a)(51)(E)(iii) of the Internal Revenue Code of 1986, as amended (the “Code”), an entity that is a publicly traded company or a subsidiary of a publicly traded company is a foreign-influenced entity if, during the taxable year, one or more Specified Foreign Entities that are each required to report their beneficial ownership under Rule 13d-3 of the Exchange Act own, in the aggregate, not less than 40% of such entity (the “Aggregated Equity 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T1 Energy’s Certificate of Incorporation was amended to establish a restriction of ownership of T1 Energy’s capital stock by Specified Foreign Entities in order to 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T1 Energy is authorized to effect any and all measures and to make any and all determinations reasonably necessary or desirable (consistent with applicable laws, the Certificate of Incorporation and the Bylaws) to, without limitation:</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maintain the share transfer records of T1 Energy in such a manner so that the percentage of any class of shares of T1 Energy’s common stock or preferred stock that is owned by Specified Foreign Entities can be determined and confirmed;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T1 Energy’s common or preferred stock that does not comply with the Certificate of Incorporation will be void and ineffective as against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has entered into a registration rights agreement with Trina pursuant to which we granted Trina certain registration rights with respect to the shares of common stock that are owned by Trina.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Stock Purchase Agreement, T1 Energy agreed to provide certain registration rights with respect to the securities issued pursuant to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DGCL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prior to such time the board of directors of the corporation approved either the business combination or the transaction which resulted in the stockholder becoming an interested stockholder;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shares of T1 Energy and any entity or person affiliated with or controlling or controlled by the entity 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 and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 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 or public disclosure of the date of the special meeting of stockholders was made, whichever first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special meetings of stockholders, for any purpose or purposes, may be called only by (i) 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Derivative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our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our common stock and preferred stock could render more difficult or discourage an attempt to obtain control over T1 Energy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our bylaws and certificate of incorporation could enable a minority of our stockholders to exercise veto power over any such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of Personal Liability of Directors/Officers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such elimination of liability is permitted (i) for any breach of the director’s duty of loyalty to T1 Energy or its stockholders, (ii) 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Forum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Our stockholders will not be deemed to have waived our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 Accordingly, actions by our stockholders to enforce any duty or liability created by the Exchange Act or the rules and regulations thereunder must be brought in federal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capital stock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in one or more series, which may be senior debt securities or subordinated debt securities and which may be convertible into another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the indenture, dated as of December 16, 2025 (the “indenture”), between us and U.S. Bank Trust Company, National Association, as trustee. A copy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title and aggregate principal amount of the debt securities and any limit on the aggregate principal amount of such series;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pPr>
            <w:r>
              <w:rPr/>
              <w:t>●</w:t>
            </w:r>
          </w:p>
        </w:tc>
        <w:tc>
          <w:tcPr>
            <w:tcW w:w="9921" w:type="dxa"/>
            <w:tcBorders/>
            <w:vAlign w:val="center"/>
          </w:tcPr>
          <w:p>
            <w:pPr>
              <w:pStyle w:val="TableContents"/>
              <w:bidi w:val="0"/>
              <w:spacing w:before="0" w:after="283"/>
              <w:jc w:val="both"/>
              <w:rPr/>
            </w:pPr>
            <w:r>
              <w:rPr/>
              <w:t>any applicable subordination provisions for any subordinated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both"/>
              <w:rPr/>
            </w:pPr>
            <w:r>
              <w:rPr/>
              <w:t>●</w:t>
            </w:r>
          </w:p>
        </w:tc>
        <w:tc>
          <w:tcPr>
            <w:tcW w:w="9797" w:type="dxa"/>
            <w:tcBorders/>
            <w:vAlign w:val="center"/>
          </w:tcPr>
          <w:p>
            <w:pPr>
              <w:pStyle w:val="TableContents"/>
              <w:bidi w:val="0"/>
              <w:spacing w:before="0" w:after="283"/>
              <w:jc w:val="both"/>
              <w:rPr/>
            </w:pPr>
            <w:r>
              <w:rPr/>
              <w:t>the maturity date(s) or method for determining same;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2"/>
        <w:gridCol w:w="9812"/>
      </w:tblGrid>
      <w:tr>
        <w:trPr/>
        <w:tc>
          <w:tcPr>
            <w:tcW w:w="7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both"/>
              <w:rPr/>
            </w:pPr>
            <w:r>
              <w:rPr/>
              <w:t>●</w:t>
            </w:r>
          </w:p>
        </w:tc>
        <w:tc>
          <w:tcPr>
            <w:tcW w:w="9812" w:type="dxa"/>
            <w:tcBorders/>
            <w:vAlign w:val="center"/>
          </w:tcPr>
          <w:p>
            <w:pPr>
              <w:pStyle w:val="TableContents"/>
              <w:bidi w:val="0"/>
              <w:spacing w:before="0" w:after="283"/>
              <w:jc w:val="both"/>
              <w:rPr/>
            </w:pPr>
            <w:r>
              <w:rPr/>
              <w:t>the interest rate(s) or the method for determining same;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dates on which interest will accrue or the method for determining dates on which interest will accrue and dates on which interest will be payable and whether interest will be payable in cash, additional securities or some combination thereof;</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whether the debt securities are convertible or exchangeable into other securities and any related terms and conditions;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both"/>
              <w:rPr/>
            </w:pPr>
            <w:r>
              <w:rPr/>
              <w:t>●</w:t>
            </w:r>
          </w:p>
        </w:tc>
        <w:tc>
          <w:tcPr>
            <w:tcW w:w="9704" w:type="dxa"/>
            <w:tcBorders/>
            <w:vAlign w:val="center"/>
          </w:tcPr>
          <w:p>
            <w:pPr>
              <w:pStyle w:val="TableContents"/>
              <w:bidi w:val="0"/>
              <w:spacing w:before="0" w:after="283"/>
              <w:jc w:val="both"/>
              <w:rPr/>
            </w:pPr>
            <w:r>
              <w:rPr/>
              <w:t>redemption or early repayment provisions;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635"/>
        <w:gridCol w:w="9429"/>
      </w:tblGrid>
      <w:tr>
        <w:trPr/>
        <w:tc>
          <w:tcPr>
            <w:tcW w:w="1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both"/>
              <w:rPr/>
            </w:pPr>
            <w:r>
              <w:rPr/>
              <w:t>●</w:t>
            </w:r>
          </w:p>
        </w:tc>
        <w:tc>
          <w:tcPr>
            <w:tcW w:w="9429" w:type="dxa"/>
            <w:tcBorders/>
            <w:vAlign w:val="center"/>
          </w:tcPr>
          <w:p>
            <w:pPr>
              <w:pStyle w:val="TableContents"/>
              <w:bidi w:val="0"/>
              <w:spacing w:before="0" w:after="283"/>
              <w:jc w:val="both"/>
              <w:rPr/>
            </w:pPr>
            <w:r>
              <w:rPr/>
              <w:t>authorized denominations;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both"/>
              <w:rPr/>
            </w:pPr>
            <w:r>
              <w:rPr/>
              <w:t>●</w:t>
            </w:r>
          </w:p>
        </w:tc>
        <w:tc>
          <w:tcPr>
            <w:tcW w:w="9986" w:type="dxa"/>
            <w:tcBorders/>
            <w:vAlign w:val="center"/>
          </w:tcPr>
          <w:p>
            <w:pPr>
              <w:pStyle w:val="TableContents"/>
              <w:bidi w:val="0"/>
              <w:spacing w:before="0" w:after="283"/>
              <w:jc w:val="both"/>
              <w:rPr/>
            </w:pPr>
            <w:r>
              <w:rPr/>
              <w:t>if other than the principal amount, the principal amount of debt securities payable upon acceleration;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place(s) where payment of principal and interest may be made, where debt securities may be presented and where notices or demands upon the company may be made;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form or forms of the debt securities of the series including such legends as may be required by applicable law;</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whether the debt securities will be issued in whole or in part in the form of one or more global securities and the date as of which the securities are dated if other than the date of original issuance;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6"/>
        <w:gridCol w:w="9893"/>
      </w:tblGrid>
      <w:tr>
        <w:trPr/>
        <w:tc>
          <w:tcPr>
            <w:tcW w:w="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pPr>
            <w:r>
              <w:rPr/>
              <w:t>●</w:t>
            </w:r>
          </w:p>
        </w:tc>
        <w:tc>
          <w:tcPr>
            <w:tcW w:w="9893" w:type="dxa"/>
            <w:tcBorders/>
            <w:vAlign w:val="center"/>
          </w:tcPr>
          <w:p>
            <w:pPr>
              <w:pStyle w:val="TableContents"/>
              <w:bidi w:val="0"/>
              <w:spacing w:before="0" w:after="283"/>
              <w:jc w:val="both"/>
              <w:rPr/>
            </w:pPr>
            <w:r>
              <w:rPr/>
              <w:t>whether the debt securities are secured and the terms of such security;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pPr>
            <w:r>
              <w:rPr/>
              <w:t>●</w:t>
            </w:r>
          </w:p>
        </w:tc>
        <w:tc>
          <w:tcPr>
            <w:tcW w:w="9957" w:type="dxa"/>
            <w:tcBorders/>
            <w:vAlign w:val="center"/>
          </w:tcPr>
          <w:p>
            <w:pPr>
              <w:pStyle w:val="TableContents"/>
              <w:bidi w:val="0"/>
              <w:spacing w:before="0" w:after="283"/>
              <w:jc w:val="both"/>
              <w:rPr/>
            </w:pPr>
            <w:r>
              <w:rPr/>
              <w:t>the amount of discount or premium, if any, with which the debt securities will be issued;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both"/>
              <w:rPr/>
            </w:pPr>
            <w:r>
              <w:rPr/>
              <w:t>●</w:t>
            </w:r>
          </w:p>
        </w:tc>
        <w:tc>
          <w:tcPr>
            <w:tcW w:w="9895" w:type="dxa"/>
            <w:tcBorders/>
            <w:vAlign w:val="center"/>
          </w:tcPr>
          <w:p>
            <w:pPr>
              <w:pStyle w:val="TableContents"/>
              <w:bidi w:val="0"/>
              <w:spacing w:before="0" w:after="283"/>
              <w:jc w:val="both"/>
              <w:rPr/>
            </w:pPr>
            <w:r>
              <w:rPr/>
              <w:t>any covenants applicable to the particular debt securities being issued;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any additions or changes in the defaults and events of default applicable to the particular debt securities being issued;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guarantors of each series, if any, and the extent of the guarantees (including provisions relating to seniority, subordination and release of the guarantees), if any;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currency, currencies or currency units in which the purchase price for, the principal of and any premium and any interest on, the debt securities will be payable;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time period within which, the manner in which and the terms and conditions upon which we or the holders of the debt securities can select the payment currency;</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obligation or right to redeem, purchase or repay debt securities under a sinking fund, amortization or analogous provision;</w:t>
            </w:r>
          </w:p>
        </w:tc>
      </w:tr>
    </w:tbl>
    <w:p>
      <w:pPr>
        <w:pStyle w:val="TextBody"/>
        <w:bidi w:val="0"/>
        <w:spacing w:before="0" w:after="0"/>
        <w:ind w:left="1080" w:right="0" w:hanging="36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pPr>
            <w:r>
              <w:rPr/>
              <w:t>any restriction or conditions on the transferability of the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both"/>
              <w:rPr/>
            </w:pPr>
            <w:r>
              <w:rPr/>
              <w:t>●</w:t>
            </w:r>
          </w:p>
        </w:tc>
        <w:tc>
          <w:tcPr>
            <w:tcW w:w="9990" w:type="dxa"/>
            <w:tcBorders/>
            <w:vAlign w:val="center"/>
          </w:tcPr>
          <w:p>
            <w:pPr>
              <w:pStyle w:val="TableContents"/>
              <w:bidi w:val="0"/>
              <w:spacing w:before="0" w:after="283"/>
              <w:jc w:val="both"/>
              <w:rPr/>
            </w:pPr>
            <w:r>
              <w:rPr/>
              <w:t>provisions granting special rights to holders of the debt securities upon occurrence of specified events;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additions or changes relating to compensation or reimbursement of the trustee of the series of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provisions relating to the modification of the indenture both with and without the consent of holders of debt securities issued under the indenture and the execution of supplemental indentures for such series;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any other terms of the debt securities (which terms shall not be inconsistent with the provisions of the TIA, but may modify, amend, supplement or delete any of the terms of the indenture with respect to such series of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consequences and special considerations, if any, applicable to any such series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shall be construed in accordance with and governed by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m_001"/>
      <w:bookmarkEnd w:id="22"/>
      <w:r>
        <w:rPr>
          <w:rFonts w:ascii="Times New Roman;Times;Serif" w:hAnsi="Times New Roman;Times;Serif"/>
          <w:b/>
          <w:i w:val="false"/>
          <w:caps w:val="false"/>
          <w:smallCaps w:val="false"/>
          <w:sz w:val="20"/>
        </w:rPr>
        <w:t>DESCRIPTION OF EXISTING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the Company’s existing warrants is not intended to be a complete summary of the rights and preferences of such securities. Read the applicable provisions of the Certificate of Incorporation, the Bylaws and the Warrant-related documents described herein in their entirety for a complete description of the rights and preferences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public warrants to purchase 14,674,894 shares of common stock (the “Public Warrants”), private warrants to purchase 9,950,000 shares of common stock (the “Private Warrants”) and a penny warrant to purchase 7,000,000 shares of common stock (the “Penny Warrant”) were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 and Private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and Private Warrants are issued pursuant to that certain amended and restated warrant agreement, dated July 7, 2021 (as amended, the “Amended Warrant Agreement”), by and among Alussa Energy Acquisition Corp., a Cayman Islands exempted company (“Alussa”), FREYR Battery, a public limited liability company (société anonyme) incorporated under the laws of Luxembourg, T1 Energy and Continental Stock Transfer and Trust Company. The Amended Warrant Agreement is incorporated by reference into this prospectus. You should review the copy of the Amended Warrant Agreement for a complete description of the terms and conditions applicable to the Public Warrants and Private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common stock at a price of $11.50 per share, subject to adjustment as discussed below, at any time. Pursuant to the Amended Warrant Agreement, a warrant holder may exercise its Public Warrants only for a whole number of shares of common stock. This means that only a whole warrant may be exercised at any given time by a warrant holder. The Public Warrants will expire on July 9, 2026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not be obligated to deliver any common stock pursuant to the exercise of a Public Warrant and will have no obligation to settle such Public Warrant exercise unless a registration statement under the Securities Act with respect to the common stock underlying the Public Warrant is then effective and a prospectus relating thereto is current, subject to T1 Energy satisfying its obligations described below with respect to registration. No Public Warrant will be exercisable for cash or on a cashless basis, and T1 Energy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Public Warrant will not be entitled to exercise such Public Warrant and such Public Warrant may have no value and expire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T1 Energy may redeem the outstanding Public Warrants:</w:t>
      </w:r>
    </w:p>
    <w:p>
      <w:pPr>
        <w:pStyle w:val="TextBody"/>
        <w:bidi w:val="0"/>
        <w:spacing w:before="0" w:after="0"/>
        <w:ind w:left="720" w:right="0" w:hanging="36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b w:val="false"/>
              </w:rPr>
            </w:pPr>
            <w:r>
              <w:rPr>
                <w:b w:val="false"/>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51"/>
        <w:gridCol w:w="9532"/>
      </w:tblGrid>
      <w:tr>
        <w:trPr/>
        <w:tc>
          <w:tcPr>
            <w:tcW w:w="1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both"/>
              <w:rPr/>
            </w:pPr>
            <w:r>
              <w:rPr/>
              <w:t>●</w:t>
            </w:r>
          </w:p>
        </w:tc>
        <w:tc>
          <w:tcPr>
            <w:tcW w:w="9532" w:type="dxa"/>
            <w:tcBorders/>
            <w:vAlign w:val="center"/>
          </w:tcPr>
          <w:p>
            <w:pPr>
              <w:pStyle w:val="TableContents"/>
              <w:bidi w:val="0"/>
              <w:spacing w:before="0" w:after="283"/>
              <w:jc w:val="both"/>
              <w:rPr>
                <w:b w:val="false"/>
              </w:rPr>
            </w:pPr>
            <w:r>
              <w:rPr>
                <w:b w:val="false"/>
              </w:rPr>
              <w:t>at a price of $0.01 per warrant;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b w:val="false"/>
              </w:rPr>
            </w:pPr>
            <w:r>
              <w:rPr>
                <w:b w:val="false"/>
              </w:rPr>
              <w:t>upon a minimum of 30 days’ prior written notice of redemption, which we refer to as the 30-day redemption period, to each warrant holder;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b w:val="false"/>
              </w:rPr>
            </w:pPr>
            <w:r>
              <w:rPr>
                <w:b w:val="false"/>
              </w:rPr>
              <w:t xml:space="preserve">if, and only if, the last reported sale price of the shares of common stock equals or exceeds $18.00 per share (as adjusted for share splits, share capitalizations, rights issuances, subdivisions, reorganizations, recapitalizations and the like) for any 20 trading days within a 30-trading day period ending on the third trading day prior to the date on which T1 Energy sends the notice of redemption to the warrant holders.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established the last of the redemption criterion discussed above to prevent a redemption call unless there is at the time of the call a significant premium to the Public Warrant exercise price. If the foregoing conditions are satisfied and T1 Energy issues a notice of redemption of the Public Warrants, each warrant holder will be entitled to exercise his, her or its Public Warrant prior to the scheduled redemption date. However, the price of the common stock may fall below the $18.00 redemption trigger price as well as the $11.50 Public Warrant exercise price after the redemption notice is issued. T1 Energy will not redeem the Public Warrants unless a registration statement under the Securities Act covering the shares of common stock issuable upon exercise of the Public Warrants is effective and a current prospectus relating to those shares of common stock is available throughout the 30-day redemption period, except if the Public Warrants may be exercised on a cashless basis and such cashless exercise is exempt from registration under the Securities Act. If and when the Public Warrants become redeemable by T1 Energy, T1 Energy may not exercise its redemption right if the issuance of shares upon exercise of the Public Warrants is not exempt from registration or qualification under applicable state blue sky laws or it is unable to effect such registration or qualification.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T1 Energy calls the Public Warrants for redemption as described above, T1 Energy’s management will have the option to require all holders that wish to exercise Public Warrants to do so on a “cashless basis.” In determining whether to require all holders to exercise their Public Warrants on a “cashless basis,” T1 Energy’s management will consider, among other factors, its cash position, the number of Public Warrants that are outstanding and the dilutive effect on its stockholders of issuing the maximum number of shares of common stock issuable upon the exercise of its Public Warrants. In such event, each holder would pay the exercise price by surrendering the Public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the Public Warrants, provided that in all cases, the exercise price shall correspond to at least the accounting par value of the common stock. If T1 Energy takes advantage of this option, the notice of redemption will contain the information necessary to calculate the number of common stock to be received upon exercise of the Public Warrants, including the “fair market value” in such case. Requiring a cashless exercise in this manner will reduce the number of shares to be issued and thereby lessen the dilutive effect of a Public Warrant redemption. If T1 Energy’s management calls the Public Warrants for redemption and its management does not take advantage of this option, Alussa Energy Sponsor LLC (the “Sponsor”) and its permitted transferees would still be entitled to exercise their Private Warrants for cash or on a cashless basis using the same formula described above that other warrant holders would have been required to use had all warrants holders been required to exercise their Public Warrants on a cashless basis, as described in more detail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T1 Energy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common stock is increased by a capitalization payable in, or by a sub-division of common stock or other similar event, then, on the effective date of such capitalization, sub-division or similar event, the number of shares of common stock issuable on exercise of each Public Warrant will be increased in proportion to such increase in the issued and outstanding shares of common stock. A rights offering to holders of common stock entitling holders to purchase shares of common stock at a price less than the fair market value will be deemed a capitalization of a number of shares of common stock equal to the product of (i) the number of common stock actually sold in such rights offering (or issuable under any other equity securities sold in such rights offering that are convertible into or exercisable for shares of common stock) multiplied by (ii) one minus the quotient of (x) the price per share of our common stock paid in such rights offering divided by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fair market value means the volume weighted average price of our common stock as reported during the ten trading day period ending on the trading day prior to the first date on which the shares of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shares of common stock is decreased by a consolidation, combination, reverse share split or reclassification of common stock or other similar event, then, on the effective date of such consolidation, combination, reverse share split, reclassification or similar event, the number of shares of common stock issuable on exercise of each Public Warrant will be decreased in proportion to such decrease in issued and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issued and outstanding common stock (other than those described above or that solely affects the par value of such shares of common stock), or in the case of any merger or consolidation of T1 Energy with or into another corporation (other than a consolidation or merger in which T1 Energy is the continuing corporation and that does not result in any reclassification or reorganization of T1 Energy’s issued and outstanding common stock), or in the case of any sale or conveyance to another corporation or entity of the assets or other property of T1 Energy as an entirety or substantially as an entirety in connection with which T1 Energy is liquidated and dissolved, the holders of the Public Warrants will thereafter have the right to purchase and receive, upon the basis and upon the terms and conditions specified in the Public Warrants and in lieu of T1 Energy’s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Alussa in connection with redemption rights held by shareholders of Alussa as provided for in Alussa’s amended and restated memorandum and articles of association)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Amended Warrant Agreement based on the per share consideration minus Black-Scholes Warrant Value (as defined in the Amended Warrant Agreement) of the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currently listed on the NYSE under the symbol “TE 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including the common stock issuable upon exercise of the Private Warrants, are not redeemable by T1 Energy and will be exercisable on a cashless basis so long as they are held by the Sponsor or its permitted transferees. Otherwise, the Private Warrants have terms and provisions that are identical to those of the Public Warrants. If the Private Warrants are held by holders other than the Sponsor or their permitted transferees, the Private Warrants will be redeemable by T1 Energy and exercisable by the holders on the same basis as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warrant exercise is sent to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warrant agreement, dated September 10, 2025 (the “Penny Warrant Agreement”), between T1 Energy and Stellar Hann Investment Ltd., we issued a Penny Warrant to purchase 7,000,000 shares of common stock, having an exercise price of $0.01 per share, subject to adjustment as provided therein, to Stellar Hann Investment Ltd. The Penny Warrant to purchase up to an aggregate of 7,000,000 shares of our common stock fully vests and becomes exercisable, in whole or in part, on March 10, 2026, and will expire on September 10, 2030. No fraction of a share of common stock will be issued upon any exercise of the Penny Warrant. In lieu of paying the exercise price, the holder may surrender a number of shares of common stock having a fair market value equal to the aggregate exercise price.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is subject to adjustment as provided under the Penny Warrant Agreement. In the event T1 Energy subdivides or reclassifies its outstanding shares of common stock into a greater number of shares of common stock or declares and pays a distribution on the shares of common stock payable in additional shares of common stock, the exercise price, as then in effect, shall be proportionately reduced, and T1 Energy shall proportionately increase the number of shares of common stock then issuable upon exercise under the Penny Warrant (and not previously exercised). If, prior to the expiration of the Penny Warrant, T1 Energy consolidates or reclassifies its outstanding shares of common stock into a lesser number of shares of common stock, the exercise price, as then in effect, shall be proportionately increased, and T1 Energy shall proportionately reduce the number of shares of common stock then issuable upon exercise under the Penny Warrant (and not previously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Penny Warrant Agreement, no holder of the Penny Warrant shall have or exercise any rights held by holders of common stock solely by virtue thereof as a holder of the Penny Warrant, including the right to vote and to receive dividends and other distributions as a holder of common stock prior to the issuance to the holder of the Penny Warrant of the shares of common stock which such holder is then entitled to receive upon the due exercise of the Penny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 Agreement does not permit any transfer of the Penny Warrant and may not be amended to permit such transfer without our consent. The Penny Warrant Agreement includes customary registration rights requiring us to file and keep effective a resale registration statement registering the resale of the Penny Warrant and shares of common stock underlying the Penny Warrant. Other customary representations and warranties and terms were included in the Penny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9"/>
      <w:bookmarkEnd w:id="23"/>
      <w:r>
        <w:rPr>
          <w:rFonts w:ascii="Times New Roman;Times;Serif" w:hAnsi="Times New Roman;Times;Serif"/>
          <w:b/>
          <w:i w:val="false"/>
          <w:caps w:val="false"/>
          <w:smallCaps w:val="false"/>
          <w:sz w:val="20"/>
        </w:rPr>
        <w:t>DESCRIPTION OF NEW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shares of our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relating to a particular issue of warrants will describe the terms of those warrants, which may include, when applicable:</w:t>
      </w:r>
    </w:p>
    <w:p>
      <w:pPr>
        <w:pStyle w:val="TextBody"/>
        <w:bidi w:val="0"/>
        <w:spacing w:before="0" w:after="0"/>
        <w:ind w:left="0" w:right="0" w:firstLine="72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1715" w:type="dxa"/>
            <w:tcBorders/>
            <w:vAlign w:val="center"/>
          </w:tcPr>
          <w:p>
            <w:pPr>
              <w:pStyle w:val="TableContents"/>
              <w:bidi w:val="0"/>
              <w:spacing w:before="0" w:after="283"/>
              <w:jc w:val="both"/>
              <w:rPr/>
            </w:pPr>
            <w:r>
              <w:rPr/>
              <w:t>the offering price;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currency or currencies, including composite currencies, in which the purchase price and/or exercise price of the warrants may be payable;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both"/>
              <w:rPr/>
            </w:pPr>
            <w:r>
              <w:rPr/>
              <w:t>●</w:t>
            </w:r>
          </w:p>
        </w:tc>
        <w:tc>
          <w:tcPr>
            <w:tcW w:w="9548" w:type="dxa"/>
            <w:tcBorders/>
            <w:vAlign w:val="center"/>
          </w:tcPr>
          <w:p>
            <w:pPr>
              <w:pStyle w:val="TableContents"/>
              <w:bidi w:val="0"/>
              <w:spacing w:before="0" w:after="283"/>
              <w:jc w:val="both"/>
              <w:rPr/>
            </w:pPr>
            <w:r>
              <w:rPr/>
              <w:t>the number of warrants offered;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8"/>
        <w:gridCol w:w="9926"/>
      </w:tblGrid>
      <w:tr>
        <w:trPr/>
        <w:tc>
          <w:tcPr>
            <w:tcW w:w="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w:t>
            </w:r>
          </w:p>
        </w:tc>
        <w:tc>
          <w:tcPr>
            <w:tcW w:w="9926" w:type="dxa"/>
            <w:tcBorders/>
            <w:vAlign w:val="center"/>
          </w:tcPr>
          <w:p>
            <w:pPr>
              <w:pStyle w:val="TableContents"/>
              <w:bidi w:val="0"/>
              <w:spacing w:before="0" w:after="283"/>
              <w:jc w:val="both"/>
              <w:rPr/>
            </w:pPr>
            <w:r>
              <w:rPr/>
              <w:t>the exercise price and the amount of securities you will receive upon exercise;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procedure for exercise of the warrants and the circumstances, if any, that will cause the warrants to be automatically exercised;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0"/>
        <w:gridCol w:w="9777"/>
      </w:tblGrid>
      <w:tr>
        <w:trPr/>
        <w:tc>
          <w:tcPr>
            <w:tcW w:w="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w:t>
            </w:r>
          </w:p>
        </w:tc>
        <w:tc>
          <w:tcPr>
            <w:tcW w:w="9777" w:type="dxa"/>
            <w:tcBorders/>
            <w:vAlign w:val="center"/>
          </w:tcPr>
          <w:p>
            <w:pPr>
              <w:pStyle w:val="TableContents"/>
              <w:bidi w:val="0"/>
              <w:spacing w:before="0" w:after="283"/>
              <w:jc w:val="both"/>
              <w:rPr/>
            </w:pPr>
            <w:r>
              <w:rPr/>
              <w:t>the rights, if any, we have to redeem the warrants;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date on which the right to exercise the warrants will commence and the date on which the warrants will expire;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both"/>
              <w:rPr/>
            </w:pPr>
            <w:r>
              <w:rPr/>
              <w:t>●</w:t>
            </w:r>
          </w:p>
        </w:tc>
        <w:tc>
          <w:tcPr>
            <w:tcW w:w="9601" w:type="dxa"/>
            <w:tcBorders/>
            <w:vAlign w:val="center"/>
          </w:tcPr>
          <w:p>
            <w:pPr>
              <w:pStyle w:val="TableContents"/>
              <w:bidi w:val="0"/>
              <w:spacing w:before="0" w:after="283"/>
              <w:jc w:val="both"/>
              <w:rPr/>
            </w:pPr>
            <w:r>
              <w:rPr/>
              <w:t>the name of the warrant agent;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30"/>
        <w:gridCol w:w="9680"/>
      </w:tblGrid>
      <w:tr>
        <w:trPr/>
        <w:tc>
          <w:tcPr>
            <w:tcW w:w="9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both"/>
              <w:rPr/>
            </w:pPr>
            <w:r>
              <w:rPr/>
              <w:t>●</w:t>
            </w:r>
          </w:p>
        </w:tc>
        <w:tc>
          <w:tcPr>
            <w:tcW w:w="9680" w:type="dxa"/>
            <w:tcBorders/>
            <w:vAlign w:val="center"/>
          </w:tcPr>
          <w:p>
            <w:pPr>
              <w:pStyle w:val="TableContents"/>
              <w:bidi w:val="0"/>
              <w:spacing w:before="0" w:after="283"/>
              <w:jc w:val="both"/>
              <w:rPr/>
            </w:pPr>
            <w:r>
              <w:rPr/>
              <w:t>any other material terms of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warrants expire they will become void. The accompanying prospectus supplement may provide for the adjustment of the exercise price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and “Incorporation of Certain Documents by Reference.” We urge you to read the applicable warrant agreement and any accompanying prospectus supplement in their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shares of our common stock, shares of our preferred stock or our debt securities. We may issue subscription rights independently or together with any other offered security, which may or may not be transferable by the securityholder.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may offer will contain the specific terms of the subscription rights. These terms may include the following:</w:t>
      </w:r>
    </w:p>
    <w:p>
      <w:pPr>
        <w:pStyle w:val="TextBody"/>
        <w:bidi w:val="0"/>
        <w:spacing w:before="0" w:after="0"/>
        <w:ind w:left="0" w:right="0" w:firstLine="72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pPr>
            <w:r>
              <w:rPr/>
              <w:t>the price, if any, for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number and terms of each share of common stock or preferred stock or debt securities which may be purchased per each subscription right;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exercise price payable for each share of common stock or preferred stock or debt securities upon the exercise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pPr>
            <w:r>
              <w:rPr/>
              <w:t>the extent to which the subscription rights are transferable;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provisions for adjustment of the number or amount of securities receivable upon exercise of the subscription rights or the exercise price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subscription rights, including the terms, procedures and limitations relating to the exchange and exercise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subscription rights shall commence, and the date on which the subscription rights shall expire;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extent to which the subscription rights may include an over-subscription privilege with respect to unsubscribed securities;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material terms of any standby underwriting or purchase arrangement entered into by us in connection with the offering of subscription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and “Incorporation of Certain Documents by Reference.” We urge you to read the applicable subscription rights certificate, the applicable subscription rights agreement and any accompanying prospectus supplement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DESCRIPTION OF PURCHASE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units comprised of two or more of the securities described in this prospectus, in any combination. Each purchase unit will be issued so that the holder of the purchase unit is also the holder of each security included in the purchase unit. Thus, the holder of a purchase unit will have the rights and obligations of a holder of each included security. The purchase units or the purchase unit or other agreement, if any, under which a purchase unit is issued may provide that the securities included in the purchase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particular issue of purchase units will describe,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securities comprising the purchase units, including whether and under what circumstances those securities may be held or transferred separately;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material provisions related to the issuance, payment, settlement, transfer or exchange of the purchase units or of the securities comprising the purchase units;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any other material provisions of the purchase units or governing unit or other agreement, if 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securityholders are persons or entities that, directly or indirectly, have acquired or will from time to time acquire from us, our securities in various private transactions. Such selling securityholders may be parties to a registration rights agreement with us, or we otherwise may have agreed or will agree to register their securities for resale. The initial purchasers of our securities, as well as their transferees, pledgees, donees or successors, all of whom we refer to as “selling securityholders,” may from time to time offer and sell the securities pursuant to this prospectus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the name of each selling securityholder and the number of and type of securities beneficially owned by such selling securityholder that are covered by such prospectus supplement. The applicable prospectus supplement also will disclose whether any of the selling securityholders have held any position or office with, have been employed by or otherwise have had a material relationship with us during the three years prior to the date of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3"/>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may sell the securities being offered hereby in one or more of the following ways from time to time: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left"/>
              <w:rPr/>
            </w:pPr>
            <w:r>
              <w:rPr/>
              <w:t>to underwriters for resale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750"/>
        <w:gridCol w:w="9288"/>
      </w:tblGrid>
      <w:tr>
        <w:trPr/>
        <w:tc>
          <w:tcPr>
            <w:tcW w:w="16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pPr>
            <w:r>
              <w:rPr/>
              <w:t>●</w:t>
            </w:r>
          </w:p>
        </w:tc>
        <w:tc>
          <w:tcPr>
            <w:tcW w:w="9288" w:type="dxa"/>
            <w:tcBorders/>
            <w:vAlign w:val="center"/>
          </w:tcPr>
          <w:p>
            <w:pPr>
              <w:pStyle w:val="TableContents"/>
              <w:bidi w:val="0"/>
              <w:spacing w:before="0" w:after="283"/>
              <w:jc w:val="left"/>
              <w:rPr/>
            </w:pPr>
            <w:r>
              <w:rPr/>
              <w:t>directly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6"/>
        <w:gridCol w:w="9672"/>
      </w:tblGrid>
      <w:tr>
        <w:trPr/>
        <w:tc>
          <w:tcPr>
            <w:tcW w:w="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pPr>
            <w:r>
              <w:rPr/>
              <w:t>through agents or dealers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left"/>
              <w:rPr/>
            </w:pPr>
            <w:r>
              <w:rPr/>
              <w:t>through a combination of any of these methods; or</w:t>
            </w:r>
          </w:p>
        </w:tc>
      </w:tr>
    </w:tbl>
    <w:p>
      <w:pPr>
        <w:pStyle w:val="TextBody"/>
        <w:bidi w:val="0"/>
        <w:spacing w:before="0" w:after="0"/>
        <w:ind w:left="0" w:right="0" w:firstLine="72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through any other methods described in the applicable prospectus supplement or free writing prospectus.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or the selling securityholders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securityholders or others to settle such sales and may use securities received from us to close out any related short positions. We or the selling securityholders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will identify the specific plan of distribution, including any underwriters, dealers, agents or direct purchasers and their compensation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4"/>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any accompanying prospectus supplement, the validity of the securities that may be issued or resold under this prospectus will be passed upon for T1 Energy by Skadden, Arps, Slate, Meagher &amp; Flom LLP, Houston, Texas. Skadden, Arps, Slate, Meagher &amp; Flom LLP may also provide opinions regarding certain other matters. Any underwriters will be advised about legal matters by their own counsel, which will be named in an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5"/>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2024 have been so incorporated in reliance on the report of PricewaterhouseCoopers AS, an independent registered public accounting firm, given on the authority of said firm as experts in auditing and accounting. PricewaterhouseCoopers AS is a member of Den norske Revisorforening.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Current Report on Form 8-K/A filed with the SEC on March 10, 2025 have been so incorporated in reliance on the report of RSM China CPA LLP,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6"/>
      <w:bookmarkEnd w:id="3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our securities offered by this prospectus. The registration statement, including the attached exhibits and schedules, contains additional relevant information about us and our securities. The rules and regulations of the SEC allow us to omit from this prospectus certain information included in the registration statement. For further information about us and the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Exchange Act, and its rules and regulations. The Exchange Act requires us to file reports and other information with the SEC. The SEC maintains a website that contains reports and other information regarding issuers that file electronically with the SEC. These materials may be obtained electronically by accessing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our website, our Annual Reports on Form 10-K, Quarterly Reports on Form 10-Q, Current Reports on Form 8-K and amendments to these reports filed or furnished pursuant to Section 13(a), 14 or 15(d) of the Exchange Act, as soon as reasonably practicable after we electronically file these documents with, or furnish them to, the SEC. These documents are also posted on our website at </w:t>
      </w:r>
      <w:r>
        <w:rPr>
          <w:rFonts w:ascii="Times New Roman;Times;Serif" w:hAnsi="Times New Roman;Times;Serif"/>
          <w:b w:val="false"/>
          <w:i/>
          <w:caps w:val="false"/>
          <w:smallCaps w:val="false"/>
          <w:sz w:val="20"/>
        </w:rPr>
        <w:t>https://t1energy.com/</w:t>
      </w:r>
      <w:r>
        <w:rPr>
          <w:rFonts w:ascii="Times New Roman;Times;Serif" w:hAnsi="Times New Roman;Times;Serif"/>
          <w:b w:val="false"/>
          <w:i w:val="false"/>
          <w:caps w:val="false"/>
          <w:smallCaps w:val="false"/>
          <w:sz w:val="20"/>
        </w:rPr>
        <w:t>. Any references in this prospectus to our website are inactive textual references only, and the information contained on or that can be accessed through our website (except for the SEC filings expressly incorporated by reference herein) is not incorporated in, and is not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7"/>
      <w:bookmarkEnd w:id="31"/>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information we file with the SEC in other documents. This means that we can disclose important information to you by referring to another document we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Annual Report on </w:t>
            </w:r>
            <w:hyperlink r:id="rId28">
              <w:r>
                <w:rPr>
                  <w:rStyle w:val="InternetLink"/>
                </w:rPr>
                <w:t>Form 10-K</w:t>
              </w:r>
            </w:hyperlink>
            <w:r>
              <w:rPr/>
              <w:t xml:space="preserve"> and </w:t>
            </w:r>
            <w:hyperlink r:id="rId29">
              <w:r>
                <w:rPr>
                  <w:rStyle w:val="InternetLink"/>
                </w:rPr>
                <w:t>Form 10-K/A</w:t>
              </w:r>
            </w:hyperlink>
            <w:r>
              <w:rPr/>
              <w:t xml:space="preserve"> for the fiscal year ended December 31, 2024, filed with the SEC on March 31, 2025 and April 30, 2025, respectively;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Quarterly Reports on Form 10-Q and Form 10-Q/A for the quarterly period ended March 31, 2025, filed with the SEC on </w:t>
            </w:r>
            <w:hyperlink r:id="rId30">
              <w:r>
                <w:rPr>
                  <w:rStyle w:val="InternetLink"/>
                </w:rPr>
                <w:t>May 15, 2025</w:t>
              </w:r>
            </w:hyperlink>
            <w:r>
              <w:rPr/>
              <w:t> and </w:t>
            </w:r>
            <w:hyperlink r:id="rId31">
              <w:r>
                <w:rPr>
                  <w:rStyle w:val="InternetLink"/>
                </w:rPr>
                <w:t>August 18, 2025</w:t>
              </w:r>
            </w:hyperlink>
            <w:r>
              <w:rPr/>
              <w:t>, respectively, for the quarterly period ended June 30, 2025, filed with the SEC on </w:t>
            </w:r>
            <w:hyperlink r:id="rId32">
              <w:r>
                <w:rPr>
                  <w:rStyle w:val="InternetLink"/>
                </w:rPr>
                <w:t>August 19, 2025</w:t>
              </w:r>
            </w:hyperlink>
            <w:r>
              <w:rPr/>
              <w:t xml:space="preserve">, and for the quarterly period ended September 30, 2025, filed with the SEC on </w:t>
            </w:r>
            <w:hyperlink r:id="rId33">
              <w:r>
                <w:rPr>
                  <w:rStyle w:val="InternetLink"/>
                </w:rPr>
                <w:t>November 14, 2025</w:t>
              </w:r>
            </w:hyperlink>
            <w:r>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Current Reports on Form 8-K and Form 8-K/A, as applicable, filed with the SEC on </w:t>
            </w:r>
            <w:hyperlink r:id="rId34">
              <w:r>
                <w:rPr>
                  <w:rStyle w:val="InternetLink"/>
                </w:rPr>
                <w:t>February 10, 2025</w:t>
              </w:r>
            </w:hyperlink>
            <w:r>
              <w:rPr/>
              <w:t xml:space="preserve">, </w:t>
            </w:r>
            <w:hyperlink r:id="rId35">
              <w:r>
                <w:rPr>
                  <w:rStyle w:val="InternetLink"/>
                </w:rPr>
                <w:t>February 14, 2025</w:t>
              </w:r>
            </w:hyperlink>
            <w:r>
              <w:rPr/>
              <w:t xml:space="preserve">, </w:t>
            </w:r>
            <w:hyperlink r:id="rId36">
              <w:r>
                <w:rPr>
                  <w:rStyle w:val="InternetLink"/>
                </w:rPr>
                <w:t>February 19, 2025</w:t>
              </w:r>
            </w:hyperlink>
            <w:r>
              <w:rPr/>
              <w:t xml:space="preserve">, </w:t>
            </w:r>
            <w:hyperlink r:id="rId37">
              <w:r>
                <w:rPr>
                  <w:rStyle w:val="InternetLink"/>
                </w:rPr>
                <w:t>March 4, 2025</w:t>
              </w:r>
            </w:hyperlink>
            <w:r>
              <w:rPr/>
              <w:t xml:space="preserve">, </w:t>
            </w:r>
            <w:hyperlink r:id="rId38">
              <w:r>
                <w:rPr>
                  <w:rStyle w:val="InternetLink"/>
                </w:rPr>
                <w:t>March 10, 2025</w:t>
              </w:r>
            </w:hyperlink>
            <w:r>
              <w:rPr/>
              <w:t xml:space="preserve">, </w:t>
            </w:r>
            <w:hyperlink r:id="rId39">
              <w:r>
                <w:rPr>
                  <w:rStyle w:val="InternetLink"/>
                </w:rPr>
                <w:t>March 14, 2025</w:t>
              </w:r>
            </w:hyperlink>
            <w:r>
              <w:rPr/>
              <w:t xml:space="preserve">, </w:t>
            </w:r>
            <w:hyperlink r:id="rId40">
              <w:r>
                <w:rPr>
                  <w:rStyle w:val="InternetLink"/>
                </w:rPr>
                <w:t>April 9, 2025</w:t>
              </w:r>
            </w:hyperlink>
            <w:r>
              <w:rPr/>
              <w:t xml:space="preserve"> (with respect to Item 8.01 only), </w:t>
            </w:r>
            <w:hyperlink r:id="rId41">
              <w:r>
                <w:rPr>
                  <w:rStyle w:val="InternetLink"/>
                </w:rPr>
                <w:t>April 28, 2025</w:t>
              </w:r>
            </w:hyperlink>
            <w:r>
              <w:rPr/>
              <w:t xml:space="preserve">, </w:t>
            </w:r>
            <w:hyperlink r:id="rId42">
              <w:r>
                <w:rPr>
                  <w:rStyle w:val="InternetLink"/>
                </w:rPr>
                <w:t>May 1, 2025</w:t>
              </w:r>
            </w:hyperlink>
            <w:r>
              <w:rPr/>
              <w:t xml:space="preserve">, </w:t>
            </w:r>
            <w:hyperlink r:id="rId43">
              <w:r>
                <w:rPr>
                  <w:rStyle w:val="InternetLink"/>
                </w:rPr>
                <w:t>May 15, 2025</w:t>
              </w:r>
            </w:hyperlink>
            <w:r>
              <w:rPr/>
              <w:t xml:space="preserve">, </w:t>
            </w:r>
            <w:hyperlink r:id="rId44">
              <w:r>
                <w:rPr>
                  <w:rStyle w:val="InternetLink"/>
                </w:rPr>
                <w:t>June 26, 2025</w:t>
              </w:r>
            </w:hyperlink>
            <w:r>
              <w:rPr/>
              <w:t xml:space="preserve">, </w:t>
            </w:r>
            <w:hyperlink r:id="rId45">
              <w:r>
                <w:rPr>
                  <w:rStyle w:val="InternetLink"/>
                </w:rPr>
                <w:t>July 3, 2025</w:t>
              </w:r>
            </w:hyperlink>
            <w:r>
              <w:rPr/>
              <w:t xml:space="preserve">, </w:t>
            </w:r>
            <w:hyperlink r:id="rId46">
              <w:r>
                <w:rPr>
                  <w:rStyle w:val="InternetLink"/>
                </w:rPr>
                <w:t>August 5, 2025</w:t>
              </w:r>
            </w:hyperlink>
            <w:r>
              <w:rPr/>
              <w:t xml:space="preserve">, </w:t>
            </w:r>
            <w:hyperlink r:id="rId47">
              <w:r>
                <w:rPr>
                  <w:rStyle w:val="InternetLink"/>
                </w:rPr>
                <w:t>August 14, 2025</w:t>
              </w:r>
            </w:hyperlink>
            <w:r>
              <w:rPr/>
              <w:t xml:space="preserve">, </w:t>
            </w:r>
            <w:hyperlink r:id="rId48">
              <w:r>
                <w:rPr>
                  <w:rStyle w:val="InternetLink"/>
                </w:rPr>
                <w:t>August 15, 2025</w:t>
              </w:r>
            </w:hyperlink>
            <w:r>
              <w:rPr/>
              <w:t xml:space="preserve">, </w:t>
            </w:r>
            <w:hyperlink r:id="rId49">
              <w:r>
                <w:rPr>
                  <w:rStyle w:val="InternetLink"/>
                </w:rPr>
                <w:t>August 18, 2025</w:t>
              </w:r>
            </w:hyperlink>
            <w:r>
              <w:rPr/>
              <w:t xml:space="preserve">, </w:t>
            </w:r>
            <w:hyperlink r:id="rId50">
              <w:r>
                <w:rPr>
                  <w:rStyle w:val="InternetLink"/>
                </w:rPr>
                <w:t>August 20, 2025</w:t>
              </w:r>
            </w:hyperlink>
            <w:r>
              <w:rPr/>
              <w:t xml:space="preserve"> (with respect to Item 5.02 only), </w:t>
            </w:r>
            <w:hyperlink r:id="rId51">
              <w:r>
                <w:rPr>
                  <w:rStyle w:val="InternetLink"/>
                </w:rPr>
                <w:t>September 4, 2025</w:t>
              </w:r>
            </w:hyperlink>
            <w:r>
              <w:rPr/>
              <w:t xml:space="preserve">, </w:t>
            </w:r>
            <w:hyperlink r:id="rId52">
              <w:r>
                <w:rPr>
                  <w:rStyle w:val="InternetLink"/>
                </w:rPr>
                <w:t>September 5, 2025</w:t>
              </w:r>
            </w:hyperlink>
            <w:r>
              <w:rPr/>
              <w:t xml:space="preserve">, </w:t>
            </w:r>
            <w:hyperlink r:id="rId53">
              <w:r>
                <w:rPr>
                  <w:rStyle w:val="InternetLink"/>
                </w:rPr>
                <w:t>September 11, 2025</w:t>
              </w:r>
            </w:hyperlink>
            <w:r>
              <w:rPr/>
              <w:t xml:space="preserve">, </w:t>
            </w:r>
            <w:hyperlink r:id="rId54">
              <w:r>
                <w:rPr>
                  <w:rStyle w:val="InternetLink"/>
                </w:rPr>
                <w:t>October 22, 2025</w:t>
              </w:r>
            </w:hyperlink>
            <w:r>
              <w:rPr/>
              <w:t xml:space="preserve"> (with respect to Item 8.01 only), </w:t>
            </w:r>
            <w:hyperlink r:id="rId55">
              <w:r>
                <w:rPr>
                  <w:rStyle w:val="InternetLink"/>
                </w:rPr>
                <w:t>October 23, 2025</w:t>
              </w:r>
            </w:hyperlink>
            <w:r>
              <w:rPr/>
              <w:t xml:space="preserve">, </w:t>
            </w:r>
            <w:hyperlink r:id="rId56">
              <w:r>
                <w:rPr>
                  <w:rStyle w:val="InternetLink"/>
                </w:rPr>
                <w:t>October 24, 2025</w:t>
              </w:r>
            </w:hyperlink>
            <w:r>
              <w:rPr/>
              <w:t xml:space="preserve"> (with respect to Item 8.01 only), </w:t>
            </w:r>
            <w:hyperlink r:id="rId57">
              <w:r>
                <w:rPr>
                  <w:rStyle w:val="InternetLink"/>
                </w:rPr>
                <w:t>October 31, 2025</w:t>
              </w:r>
            </w:hyperlink>
            <w:r>
              <w:rPr/>
              <w:t xml:space="preserve">, </w:t>
            </w:r>
            <w:hyperlink r:id="rId58">
              <w:r>
                <w:rPr>
                  <w:rStyle w:val="InternetLink"/>
                </w:rPr>
                <w:t>December 5, 2025</w:t>
              </w:r>
            </w:hyperlink>
            <w:r>
              <w:rPr/>
              <w:t xml:space="preserve">, </w:t>
            </w:r>
            <w:hyperlink r:id="rId59">
              <w:r>
                <w:rPr>
                  <w:rStyle w:val="InternetLink"/>
                </w:rPr>
                <w:t>December 15, 2025</w:t>
              </w:r>
            </w:hyperlink>
            <w:r>
              <w:rPr/>
              <w:t xml:space="preserve">, </w:t>
            </w:r>
            <w:hyperlink r:id="rId60">
              <w:r>
                <w:rPr>
                  <w:rStyle w:val="InternetLink"/>
                </w:rPr>
                <w:t>December 16, 2025</w:t>
              </w:r>
            </w:hyperlink>
            <w:r>
              <w:rPr/>
              <w:t xml:space="preserve"> and </w:t>
            </w:r>
            <w:hyperlink r:id="rId61">
              <w:r>
                <w:rPr>
                  <w:rStyle w:val="InternetLink"/>
                </w:rPr>
                <w:t>December 30, 2025</w:t>
              </w:r>
            </w:hyperlink>
            <w:r>
              <w:rPr/>
              <w: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description of the Company’s common stock set forth in our Current Report on </w:t>
            </w:r>
            <w:hyperlink r:id="rId62">
              <w:r>
                <w:rPr>
                  <w:rStyle w:val="InternetLink"/>
                </w:rPr>
                <w:t>Form 8-K12B</w:t>
              </w:r>
            </w:hyperlink>
            <w:r>
              <w:rPr/>
              <w:t xml:space="preserve">, filed with the SEC on January 2, 2024, as updated by the description of the Company’s common stock contained in </w:t>
            </w:r>
            <w:hyperlink r:id="rId63">
              <w:r>
                <w:rPr>
                  <w:rStyle w:val="InternetLink"/>
                </w:rPr>
                <w:t>Exhibit 4.5</w:t>
              </w:r>
            </w:hyperlink>
            <w:r>
              <w:rPr/>
              <w:t xml:space="preserve"> to our Annual Report on </w:t>
            </w:r>
            <w:hyperlink r:id="rId64">
              <w:r>
                <w:rPr>
                  <w:rStyle w:val="InternetLink"/>
                </w:rPr>
                <w:t>Form 10-K</w:t>
              </w:r>
            </w:hyperlink>
            <w:r>
              <w:rPr/>
              <w:t xml:space="preserve"> for the fiscal year ended December 31, 2024, filed with the SEC on March 31, 2025, including any amendments or reports filed for the purpose of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 and supplement the information provided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relating to us contained in this prospectus should be read together with the information in the documents incorporated by reference. Information that we file subsequent to the date of this prospectus with the SEC will automatically update and supersede the information contained in documents filed earlier with the SEC or contained in this prospectus, including information in previously filed documents or reports that have been incorporated by reference into this prospectus. Any statement so modified or superseded will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copies, without charge, of documents incorporated by reference in this prospectus, by requesting them orally or in writing. To receive any such copy, call or write: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E 4th 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78702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Jeffery Spittel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409-599-5706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2" w:name="ea030769501ex-fee.htm"/>
      <w:bookmarkStart w:id="33" w:name="ksea030769501exfee"/>
      <w:bookmarkEnd w:id="32"/>
      <w:bookmarkEnd w:id="3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T1 Energy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615" w:type="dxa"/>
        <w:jc w:val="left"/>
        <w:tblInd w:w="0" w:type="dxa"/>
        <w:tblLayout w:type="fixed"/>
        <w:tblCellMar>
          <w:top w:w="0" w:type="dxa"/>
          <w:left w:w="0" w:type="dxa"/>
          <w:bottom w:w="0" w:type="dxa"/>
          <w:right w:w="0" w:type="dxa"/>
        </w:tblCellMar>
      </w:tblPr>
      <w:tblGrid>
        <w:gridCol w:w="1040"/>
        <w:gridCol w:w="60"/>
        <w:gridCol w:w="800"/>
        <w:gridCol w:w="60"/>
        <w:gridCol w:w="905"/>
        <w:gridCol w:w="60"/>
        <w:gridCol w:w="575"/>
        <w:gridCol w:w="60"/>
        <w:gridCol w:w="1100"/>
        <w:gridCol w:w="60"/>
        <w:gridCol w:w="1025"/>
        <w:gridCol w:w="60"/>
        <w:gridCol w:w="240"/>
        <w:gridCol w:w="755"/>
        <w:gridCol w:w="60"/>
        <w:gridCol w:w="140"/>
        <w:gridCol w:w="1400"/>
        <w:gridCol w:w="60"/>
        <w:gridCol w:w="920"/>
        <w:gridCol w:w="60"/>
        <w:gridCol w:w="162"/>
        <w:gridCol w:w="1013"/>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615" w:type="dxa"/>
            <w:gridSpan w:val="22"/>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7,246,377</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26,521,739.82</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0.000087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2,307.39</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$0.01</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80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26,521,739.82</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2,307.39</w:t>
            </w:r>
          </w:p>
        </w:tc>
      </w:tr>
      <w:tr>
        <w:trPr/>
        <w:tc>
          <w:tcPr>
            <w:tcW w:w="680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80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80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2,307.39</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2"/>
        <w:gridCol w:w="23"/>
        <w:gridCol w:w="9930"/>
      </w:tblGrid>
      <w:tr>
        <w:trPr/>
        <w:tc>
          <w:tcPr>
            <w:tcW w:w="25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0" w:type="dxa"/>
            <w:tcBorders/>
            <w:vAlign w:val="center"/>
          </w:tcPr>
          <w:p>
            <w:pPr>
              <w:pStyle w:val="TableContents"/>
              <w:bidi w:val="0"/>
              <w:spacing w:before="0" w:after="283"/>
              <w:jc w:val="both"/>
              <w:rPr/>
            </w:pPr>
            <w:r>
              <w:rPr/>
              <w:t>(a) Pursuant to Rule 416 under the Securities Act of 1933, as amended, this prospectus supplement also covers such additional shares as may hereafter be offered or issued with respect to the shares registered hereby resulting from stock splits, stock dividends, recapitalizations or similar capital adjustments.</w:t>
              <w:br/>
              <w:br/>
              <w:t>(b) Estimated pursuant to Rule 457(a) in accordance with Rule 457(r), solely for the purpose of calculating the registration fee, on the basis of the average of the high and low sales prices for the Common Stock on September 29, 2026, as reported on the New York Stock Exchange, in accordance with Rule 457(c).</w:t>
              <w:br/>
              <w:br/>
              <w:t>(c) Pursuant to Rule 424(g)(2) and General Instruction II.F to Form S-3, this prospectus supplement shall be deemed a final prospectus for purposes of the offering of the securities described herein.</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pPr>
            <w:r>
              <w:rPr/>
              <w:t>In accordance with Rules 456(b) and 457(r) under the Securities Act of 1933, as amended, T1 Energy initially deferred payment of all registration fees for the Registration Statement on Form S-3 (Registration No. 333-292857), filed on January 21, 2026. This filing fee exhibit is in connection with a final prospectus supplement dated October 6, 2026, filed by T1 Energy with the SEC pursuant to Rule 424(b) of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92243/000199224326000007/t1-20251231.htm" TargetMode="External"/><Relationship Id="rId4" Type="http://schemas.openxmlformats.org/officeDocument/2006/relationships/hyperlink" Target="https://www.sec.gov/ix?doc=/Archives/edgar/data/0001992243/000121390026049667/ea0288125-10ka1_t1energy.htm" TargetMode="External"/><Relationship Id="rId5" Type="http://schemas.openxmlformats.org/officeDocument/2006/relationships/hyperlink" Target="https://www.sec.gov/ix?doc=/Archives/edgar/data/1992243/000199224326000014/t1-20260331.htm" TargetMode="External"/><Relationship Id="rId6" Type="http://schemas.openxmlformats.org/officeDocument/2006/relationships/hyperlink" Target="https://www.sec.gov/ix?doc=/Archives/edgar/data/1992243/000199224326000022/t1-20260630.htm" TargetMode="External"/><Relationship Id="rId7" Type="http://schemas.openxmlformats.org/officeDocument/2006/relationships/hyperlink" Target="https://www.sec.gov/ix?doc=/Archives/edgar/data/1992243/000121390026006322/ea0273074-8k_t1energy.htm" TargetMode="External"/><Relationship Id="rId8" Type="http://schemas.openxmlformats.org/officeDocument/2006/relationships/hyperlink" Target="https://www.sec.gov/ix?doc=/Archives/edgar/data/1992243/000121390026013301/ea0275957-8k_t1energy.htm" TargetMode="External"/><Relationship Id="rId9" Type="http://schemas.openxmlformats.org/officeDocument/2006/relationships/hyperlink" Target="https://www.sec.gov/ix?doc=/Archives/edgar/data/1992243/000121390026017944/ea0277444-8k_t1energy.htm" TargetMode="External"/><Relationship Id="rId10" Type="http://schemas.openxmlformats.org/officeDocument/2006/relationships/hyperlink" Target="https://www.sec.gov/ix?doc=/Archives/edgar/data/1992243/000121390026036817/ea0284268-8k_t1energy.htm" TargetMode="External"/><Relationship Id="rId11" Type="http://schemas.openxmlformats.org/officeDocument/2006/relationships/hyperlink" Target="https://www.sec.gov/ix?doc=/Archives/edgar/data/0001992243/000121390026045173/ea0286610-8k_t1energy.htm" TargetMode="External"/><Relationship Id="rId12" Type="http://schemas.openxmlformats.org/officeDocument/2006/relationships/hyperlink" Target="https://www.sec.gov/ix?doc=/Archives/edgar/data/0001992243/000121390026048030/ea0287442-8k_t1energy.htm" TargetMode="External"/><Relationship Id="rId13" Type="http://schemas.openxmlformats.org/officeDocument/2006/relationships/hyperlink" Target="https://www.sec.gov/ix?doc=/Archives/edgar/data/0001992243/000121390026065997/ea0293886-8k_t1energy.htm" TargetMode="External"/><Relationship Id="rId14" Type="http://schemas.openxmlformats.org/officeDocument/2006/relationships/hyperlink" Target="https://www.sec.gov/ix?doc=/Archives/edgar/data/0001992243/000121390026069670/ea0295062-8k_t1energy.htm" TargetMode="External"/><Relationship Id="rId15" Type="http://schemas.openxmlformats.org/officeDocument/2006/relationships/hyperlink" Target="https://www.sec.gov/ix?doc=/Archives/edgar/data/0001992243/000121390026072832/ea0295645-8k_t1energy.htm" TargetMode="External"/><Relationship Id="rId16" Type="http://schemas.openxmlformats.org/officeDocument/2006/relationships/hyperlink" Target="https://www.sec.gov/ix?doc=/Archives/edgar/data/1992243/000121390026081974/ea0299450-8k_t1energy.htm" TargetMode="External"/><Relationship Id="rId17" Type="http://schemas.openxmlformats.org/officeDocument/2006/relationships/hyperlink" Target="https://www.sec.gov/ix?doc=/Archives/edgar/data/0001992243/000121390026081974/ea0299450-8k_t1energy.htm" TargetMode="External"/><Relationship Id="rId18" Type="http://schemas.openxmlformats.org/officeDocument/2006/relationships/hyperlink" Target="https://www.sec.gov/ix?doc=/Archives/edgar/data/1992243/000121390026083033/ea0299711-8k_t1energy.htm" TargetMode="External"/><Relationship Id="rId19" Type="http://schemas.openxmlformats.org/officeDocument/2006/relationships/hyperlink" Target="https://www.sec.gov/ix?doc=/Archives/edgar/data/0001992243/000121390026084067/ea0299867-8k_t1energy.htm" TargetMode="External"/><Relationship Id="rId20" Type="http://schemas.openxmlformats.org/officeDocument/2006/relationships/hyperlink" Target="https://www.sec.gov/ix?doc=/Archives/edgar/data/1992243/000121390026086689/ea0301011-8k_t1energy.htm" TargetMode="External"/><Relationship Id="rId21" Type="http://schemas.openxmlformats.org/officeDocument/2006/relationships/hyperlink" Target="https://www.sec.gov/ix?doc=/Archives/edgar/data/1992243/000121390026095184/ea0303753-8k_t1energy.htm" TargetMode="External"/><Relationship Id="rId22" Type="http://schemas.openxmlformats.org/officeDocument/2006/relationships/hyperlink" Target="https://www.sec.gov/ix?doc=/Archives/edgar/data/1992243/000121390026104291/ea0306948-8k_t1energy.htm" TargetMode="External"/><Relationship Id="rId23" Type="http://schemas.openxmlformats.org/officeDocument/2006/relationships/hyperlink" Target="https://www.sec.gov/ix?doc=/Archives/edgar/data/0001992243/000121390026058457/ea0289524-02.htm" TargetMode="External"/><Relationship Id="rId24" Type="http://schemas.openxmlformats.org/officeDocument/2006/relationships/hyperlink" Target="https://www.sec.gov/Archives/edgar/data/1992243/000199224324000003/freyr-20240102.htm" TargetMode="External"/><Relationship Id="rId25" Type="http://schemas.openxmlformats.org/officeDocument/2006/relationships/hyperlink" Target="https://www.sec.gov/Archives/edgar/data/1992243/000199224326000007/ex48-q42025.htm" TargetMode="External"/><Relationship Id="rId26" Type="http://schemas.openxmlformats.org/officeDocument/2006/relationships/hyperlink" Target="https://www.sec.gov/ix?doc=/Archives/edgar/data/1992243/000199224326000007/t1-20251231.htm" TargetMode="External"/><Relationship Id="rId27" Type="http://schemas.openxmlformats.org/officeDocument/2006/relationships/image" Target="media/image1.jpeg"/><Relationship Id="rId28" Type="http://schemas.openxmlformats.org/officeDocument/2006/relationships/hyperlink" Target="https://www.sec.gov/ix?doc=/Archives/edgar/data/1992243/000199224325000010/frey-20241231.htm" TargetMode="External"/><Relationship Id="rId29" Type="http://schemas.openxmlformats.org/officeDocument/2006/relationships/hyperlink" Target="https://www.sec.gov/ix?doc=/Archives/edgar/data/1992243/000199224325000015/t1energy-20241231.htm" TargetMode="External"/><Relationship Id="rId30" Type="http://schemas.openxmlformats.org/officeDocument/2006/relationships/hyperlink" Target="https://www.sec.gov/ix?doc=/Archives/edgar/data/1992243/000199224325000021/t1-20250331.htm" TargetMode="External"/><Relationship Id="rId31" Type="http://schemas.openxmlformats.org/officeDocument/2006/relationships/hyperlink" Target="https://www.sec.gov/ix?doc=/Archives/edgar/data/1992243/000199224325000029/t1-20250331.htm" TargetMode="External"/><Relationship Id="rId32" Type="http://schemas.openxmlformats.org/officeDocument/2006/relationships/hyperlink" Target="https://www.sec.gov/ix?doc=/Archives/edgar/data/1992243/000199224325000033/t1-20250630.htm" TargetMode="External"/><Relationship Id="rId33" Type="http://schemas.openxmlformats.org/officeDocument/2006/relationships/hyperlink" Target="https://www.sec.gov/ix?doc=/Archives/edgar/data/1992243/000199224325000040/t1-20250930.htm" TargetMode="External"/><Relationship Id="rId34" Type="http://schemas.openxmlformats.org/officeDocument/2006/relationships/hyperlink" Target="https://www.sec.gov/ix?doc=/Archives/edgar/data/1992243/000121390025011494/ea023045002-8k_freyrbat.htm" TargetMode="External"/><Relationship Id="rId35" Type="http://schemas.openxmlformats.org/officeDocument/2006/relationships/hyperlink" Target="https://www.sec.gov/ix?doc=/Archives/edgar/data/1992243/000121390025014298/ea0231185-8k_freyrbat.htm" TargetMode="External"/><Relationship Id="rId36" Type="http://schemas.openxmlformats.org/officeDocument/2006/relationships/hyperlink" Target="https://www.sec.gov/ix?doc=/Archives/edgar/data/1992243/000121390025015030/ea0231365-8k_freyrbat.htm" TargetMode="External"/><Relationship Id="rId37" Type="http://schemas.openxmlformats.org/officeDocument/2006/relationships/hyperlink" Target="https://www.sec.gov/ix?doc=/Archives/edgar/data/1992243/000121390025020257/ea0232565-8k_t1energy.htm" TargetMode="External"/><Relationship Id="rId38" Type="http://schemas.openxmlformats.org/officeDocument/2006/relationships/hyperlink" Target="https://www.sec.gov/ix?doc=/Archives/edgar/data/1992243/000121390025022205/ea0233228-8ka1_t1energy.htm" TargetMode="External"/><Relationship Id="rId39" Type="http://schemas.openxmlformats.org/officeDocument/2006/relationships/hyperlink" Target="https://www.sec.gov/ix?doc=/Archives/edgar/data/1992243/000121390025024191/ea0234359-8k_t1energy.htm" TargetMode="External"/><Relationship Id="rId40" Type="http://schemas.openxmlformats.org/officeDocument/2006/relationships/hyperlink" Target="https://www.sec.gov/ix?doc=/Archives/edgar/data/1992243/000121390025030313/ea0237297-8k_t1energy.htm" TargetMode="External"/><Relationship Id="rId41" Type="http://schemas.openxmlformats.org/officeDocument/2006/relationships/hyperlink" Target="https://www.sec.gov/ix?doc=/Archives/edgar/data/1992243/000121390025035737/ea0239651-8k_t1energy.htm" TargetMode="External"/><Relationship Id="rId42" Type="http://schemas.openxmlformats.org/officeDocument/2006/relationships/hyperlink" Target="https://www.sec.gov/ix?doc=/Archives/edgar/data/1992243/000121390025038479/ea0240465-8k_t1energy.htm" TargetMode="External"/><Relationship Id="rId43" Type="http://schemas.openxmlformats.org/officeDocument/2006/relationships/hyperlink" Target="https://www.sec.gov/ix?doc=/Archives/edgar/data/1992243/000121390025043646/ea0242292-8k_t1energy.htm" TargetMode="External"/><Relationship Id="rId44" Type="http://schemas.openxmlformats.org/officeDocument/2006/relationships/hyperlink" Target="https://www.sec.gov/ix?doc=/Archives/edgar/data/1992243/000121390025058015/ea0246700-8k_t1energy.htm" TargetMode="External"/><Relationship Id="rId45" Type="http://schemas.openxmlformats.org/officeDocument/2006/relationships/hyperlink" Target="https://www.sec.gov/ix?doc=/Archives/edgar/data/1992243/000121390025061508/ea0247616-8k_t1energy.htm" TargetMode="External"/><Relationship Id="rId46" Type="http://schemas.openxmlformats.org/officeDocument/2006/relationships/hyperlink" Target="https://www.sec.gov/ix?doc=/Archives/edgar/data/1992243/000121390025072121/ea0251845-8k_t1energy.htm" TargetMode="External"/><Relationship Id="rId47" Type="http://schemas.openxmlformats.org/officeDocument/2006/relationships/hyperlink" Target="https://www.sec.gov/ix?doc=/Archives/edgar/data/1992243/000121390025076002/ea0253099-8k_t1energy.htm" TargetMode="External"/><Relationship Id="rId48" Type="http://schemas.openxmlformats.org/officeDocument/2006/relationships/hyperlink" Target="https://www.sec.gov/ix?doc=/Archives/edgar/data/1992243/000121390025077036/ea0253426-8k_t1energy.htm" TargetMode="External"/><Relationship Id="rId49" Type="http://schemas.openxmlformats.org/officeDocument/2006/relationships/hyperlink" Target="https://www.sec.gov/ix?doc=/Archives/edgar/data/1992243/000121390025077935/ea0253661-8k_t1energy.htm" TargetMode="External"/><Relationship Id="rId50" Type="http://schemas.openxmlformats.org/officeDocument/2006/relationships/hyperlink" Target="https://www.sec.gov/ix?doc=/Archives/edgar/data/1992243/000121390025078694/ea0253865-8k_t1energy.htm" TargetMode="External"/><Relationship Id="rId51" Type="http://schemas.openxmlformats.org/officeDocument/2006/relationships/hyperlink" Target="https://www.sec.gov/ix?doc=/Archives/edgar/data/1992243/000121390025084519/ea0256001-8k_t1energy.htm" TargetMode="External"/><Relationship Id="rId52" Type="http://schemas.openxmlformats.org/officeDocument/2006/relationships/hyperlink" Target="https://www.sec.gov/ix?doc=/Archives/edgar/data/1992243/000121390025085031/ea0256209-8k_t1energy.htm" TargetMode="External"/><Relationship Id="rId53" Type="http://schemas.openxmlformats.org/officeDocument/2006/relationships/hyperlink" Target="https://www.sec.gov/ix?doc=/Archives/edgar/data/1992243/000121390025086663/ea0256560-8k_t1energy.htm" TargetMode="External"/><Relationship Id="rId54" Type="http://schemas.openxmlformats.org/officeDocument/2006/relationships/hyperlink" Target="https://www.sec.gov/ix?doc=/Archives/edgar/data/1992243/000121390025101017/ea0262096-8k_t1energy.htm" TargetMode="External"/><Relationship Id="rId55" Type="http://schemas.openxmlformats.org/officeDocument/2006/relationships/hyperlink" Target="https://www.sec.gov/ix?doc=/Archives/edgar/data/1992243/000121390025101432/ea0262237-8k_t1energy.htm" TargetMode="External"/><Relationship Id="rId56" Type="http://schemas.openxmlformats.org/officeDocument/2006/relationships/hyperlink" Target="https://www.sec.gov/ix?doc=/Archives/edgar/data/1992243/000121390025101908/ea0262405-8k_t1energy.htm" TargetMode="External"/><Relationship Id="rId57" Type="http://schemas.openxmlformats.org/officeDocument/2006/relationships/hyperlink" Target="https://www.sec.gov/ix?doc=/Archives/edgar/data/1992243/000121390025104500/ea0263018-8k_t1energy.htm" TargetMode="External"/><Relationship Id="rId58" Type="http://schemas.openxmlformats.org/officeDocument/2006/relationships/hyperlink" Target="https://www.sec.gov/ix?doc=/Archives/edgar/data/1992243/000121390025118483/ea0268498-8k_t1energy.htm" TargetMode="External"/><Relationship Id="rId59" Type="http://schemas.openxmlformats.org/officeDocument/2006/relationships/hyperlink" Target="https://www.sec.gov/ix?doc=/Archives/edgar/data/1992243/000121390025121741/ea0269639-8k_t1energy.htm" TargetMode="External"/><Relationship Id="rId60" Type="http://schemas.openxmlformats.org/officeDocument/2006/relationships/hyperlink" Target="https://www.sec.gov/ix?doc=/Archives/edgar/data/1992243/000121390025122336/ea0269834-8k_t1energy.htm" TargetMode="External"/><Relationship Id="rId61" Type="http://schemas.openxmlformats.org/officeDocument/2006/relationships/hyperlink" Target="https://www.sec.gov/ix?doc=/Archives/edgar/data/1992243/000121390025126306/ea0271222-8k_t1energy.htm" TargetMode="External"/><Relationship Id="rId62" Type="http://schemas.openxmlformats.org/officeDocument/2006/relationships/hyperlink" Target="https://www.sec.gov/ix?doc=/Archives/edgar/data/1992243/000199224324000003/freyr-20240102.htm" TargetMode="External"/><Relationship Id="rId63" Type="http://schemas.openxmlformats.org/officeDocument/2006/relationships/hyperlink" Target="https://www.sec.gov/Archives/edgar/data/1992243/000199224325000010/ex45.htm" TargetMode="External"/><Relationship Id="rId64" Type="http://schemas.openxmlformats.org/officeDocument/2006/relationships/hyperlink" Target="https://www.sec.gov/ix?doc=/Archives/edgar/data/1992243/000199224325000010/frey-20241231.htm"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27663</Words>
  <Characters>146994</Characters>
  <CharactersWithSpaces>174702</CharactersWithSpaces>
  <Paragraphs>1611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