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711-8k_t1energy.htm"/>
      <w:bookmarkStart w:id="1" w:name="ksea02997118k_t1energ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727__20"/>
      <w:bookmarkEnd w:id="2"/>
      <w:r>
        <w:rPr>
          <w:rFonts w:ascii="Times New Roman;Times;Serif" w:hAnsi="Times New Roman;Times;Serif"/>
          <w:b/>
          <w:i w:val="false"/>
          <w:caps w:val="false"/>
          <w:smallCaps w:val="false"/>
          <w:sz w:val="20"/>
        </w:rPr>
        <w:t>8-K</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w:t>
      </w:r>
      <w:bookmarkStart w:id="3" w:name="xdx_90B_edei--DocumentPeriodEndDate_c202"/>
      <w:bookmarkEnd w:id="3"/>
      <w:r>
        <w:rPr>
          <w:rFonts w:ascii="Times New Roman;Times;Serif" w:hAnsi="Times New Roman;Times;Serif"/>
          <w:b w:val="false"/>
          <w:i w:val="false"/>
          <w:caps w:val="false"/>
          <w:smallCaps w:val="false"/>
          <w:sz w:val="20"/>
        </w:rPr>
        <w:t>July 27, 2026</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ind w:left="0" w:right="0" w:firstLine="2160"/>
        <w:jc w:val="left"/>
        <w:rPr>
          <w:bdr w:val="single" w:sz="12" w:space="1" w:color="000000"/>
        </w:rPr>
      </w:pPr>
      <w:r>
        <w:rPr>
          <w:bdr w:val="single" w:sz="12" w:space="1" w:color="000000"/>
        </w:rPr>
        <w:t> </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20"/>
        </w:rPr>
        <w:t>T1 Energy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240" w:type="dxa"/>
        <w:jc w:val="left"/>
        <w:tblInd w:w="0" w:type="dxa"/>
        <w:tblLayout w:type="fixed"/>
        <w:tblCellMar>
          <w:top w:w="0" w:type="dxa"/>
          <w:left w:w="0" w:type="dxa"/>
          <w:bottom w:w="28" w:type="dxa"/>
          <w:right w:w="0" w:type="dxa"/>
        </w:tblCellMar>
      </w:tblPr>
      <w:tblGrid>
        <w:gridCol w:w="2375"/>
        <w:gridCol w:w="60"/>
        <w:gridCol w:w="2210"/>
        <w:gridCol w:w="60"/>
        <w:gridCol w:w="1535"/>
      </w:tblGrid>
      <w:tr>
        <w:trPr/>
        <w:tc>
          <w:tcPr>
            <w:tcW w:w="23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727"/>
            <w:bookmarkEnd w:id="6"/>
            <w:r>
              <w:rPr>
                <w:rFonts w:ascii="Times New Roman;Times;Serif" w:hAnsi="Times New Roman;Times;Serif"/>
                <w:b/>
                <w:i w:val="false"/>
                <w:caps w:val="false"/>
                <w:smallCaps w:val="false"/>
                <w:sz w:val="20"/>
              </w:rPr>
              <w:t>001-41903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93-3205861</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1211 E 4th St.</w:t>
        <w:br/>
      </w:r>
      <w:bookmarkStart w:id="9" w:name="xdx_90F_edei--EntityAddressCityOrTown_c2"/>
      <w:bookmarkEnd w:id="9"/>
      <w:r>
        <w:rPr>
          <w:rFonts w:ascii="Times New Roman;Times;Serif" w:hAnsi="Times New Roman;Times;Serif"/>
          <w:b/>
          <w:i w:val="false"/>
          <w:caps w:val="false"/>
          <w:smallCaps w:val="false"/>
          <w:sz w:val="20"/>
        </w:rPr>
        <w:t xml:space="preserve">Austin, </w:t>
      </w:r>
      <w:bookmarkStart w:id="10" w:name="xdx_900_edei--EntityAddressStateOrProvin"/>
      <w:bookmarkEnd w:id="10"/>
      <w:r>
        <w:rPr>
          <w:rFonts w:ascii="Times New Roman;Times;Serif" w:hAnsi="Times New Roman;Times;Serif"/>
          <w:b/>
          <w:i w:val="false"/>
          <w:caps w:val="false"/>
          <w:smallCaps w:val="false"/>
          <w:sz w:val="20"/>
        </w:rPr>
        <w:t xml:space="preserve">Texas </w:t>
      </w:r>
      <w:bookmarkStart w:id="11" w:name="xdx_90A_edei--EntityAddressPostalZipCode"/>
      <w:bookmarkEnd w:id="11"/>
      <w:r>
        <w:rPr>
          <w:rFonts w:ascii="Times New Roman;Times;Serif" w:hAnsi="Times New Roman;Times;Serif"/>
          <w:b/>
          <w:i w:val="false"/>
          <w:caps w:val="false"/>
          <w:smallCaps w:val="false"/>
          <w:sz w:val="20"/>
        </w:rPr>
        <w:t>78702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D_edei--CityAreaCode_c20260727__20"/>
      <w:bookmarkEnd w:id="12"/>
      <w:r>
        <w:rPr>
          <w:rFonts w:ascii="Times New Roman;Times;Serif" w:hAnsi="Times New Roman;Times;Serif"/>
          <w:b/>
          <w:i w:val="false"/>
          <w:caps w:val="false"/>
          <w:smallCaps w:val="false"/>
          <w:sz w:val="20"/>
        </w:rPr>
        <w:t>409-</w:t>
      </w:r>
      <w:bookmarkStart w:id="13" w:name="xdx_90F_edei--LocalPhoneNumber_c20260727"/>
      <w:bookmarkEnd w:id="13"/>
      <w:r>
        <w:rPr>
          <w:rFonts w:ascii="Times New Roman;Times;Serif" w:hAnsi="Times New Roman;Times;Serif"/>
          <w:b/>
          <w:i w:val="false"/>
          <w:caps w:val="false"/>
          <w:smallCaps w:val="false"/>
          <w:sz w:val="20"/>
        </w:rPr>
        <w:t>599-5706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07"/>
            <w:bookmarkEnd w:id="15"/>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535"/>
        <w:gridCol w:w="60"/>
        <w:gridCol w:w="3590"/>
      </w:tblGrid>
      <w:tr>
        <w:trPr/>
        <w:tc>
          <w:tcPr>
            <w:tcW w:w="35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B_edei--Security12bTitle_c20260727"/>
            <w:bookmarkEnd w:id="18"/>
            <w:r>
              <w:rPr>
                <w:rFonts w:ascii="Times New Roman;Times;Serif" w:hAnsi="Times New Roman;Times;Serif"/>
                <w:b/>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A_edei--TradingSymbol_c20260727__2"/>
            <w:bookmarkEnd w:id="19"/>
            <w:r>
              <w:rPr>
                <w:rFonts w:ascii="Times New Roman;Times;Serif" w:hAnsi="Times New Roman;Times;Serif"/>
                <w:b/>
                <w:i w:val="false"/>
                <w:caps w:val="false"/>
                <w:smallCaps w:val="false"/>
                <w:sz w:val="20"/>
              </w:rPr>
              <w:t>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3_edei--SecurityExchangeName_c2026"/>
            <w:bookmarkEnd w:id="20"/>
            <w:r>
              <w:rPr>
                <w:rFonts w:ascii="Times New Roman;Times;Serif" w:hAnsi="Times New Roman;Times;Serif"/>
                <w:b/>
                <w:i w:val="false"/>
                <w:caps w:val="false"/>
                <w:smallCaps w:val="false"/>
                <w:sz w:val="20"/>
              </w:rPr>
              <w:t>The 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T1 Energy Inc. (the “Company”) entered into note purchase agreements (collectively, the “Note Purchase Agreements”) relating to the private offering (collectively, the “Offering”) of $120.0 million aggregate principal amount of the Company’s 4.75% Convertible Senior Notes due 2031 (the “Convertible Notes”) to certain qualified institutional buyers (collectively, the “Purchasers”). The Offering is expected to close on July 31, 2026 (the date on which the closing occurs, the “Closing”), subject to satisfaction of the customary closing conditions set forth in the Note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the sale of the Convertible Notes are expected to be $120.0 million, prior to deducting fees and estimated offering expenses. The Company expects to use the net proceeds of the Offering for (i) construction and development of infrastructure and purchase of production line equipment relating to Phase 1 of its G2_Austin solar cell fab (“G2_Austin”) and (ii) general corporate purposes. The net proceeds of the Offering are intended as a bridge to a comprehensive financing solution, which includes a significant debt component, to fund the remaining capital expenditures for Phase 1 of G2_Austin that the Company continues to target.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the Note Purchase Agreements provide the Purchasers with certain registration rights for the shares of the Company’s common stock issuable upon conversion of the Convertible Notes. The Note Purchase Agreements require the Company to prepare and file a new registration statement, or a prospectus supplement to a prospectus that forms a part of an existing registration statement, with the U.S. Securities and Exchange Commission (the “SEC”) as soon as reasonably practicable but in no event later than 30 calendar days following the date of the Closing to register the resale of the shares underlying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otherwise contain representations and warranties, covenants and other terms customary for an Offering of this type.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of the Note Purchase Agreements does not purport to be complete and is subject to, and qualified in its entirety by, the full text of, the form of Note Purchase Agreement, which will be filed with the SEC following, and subject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Convertible Notes and Indenture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the Convertible Notes in the Offering pursuant to the terms and conditions of an Indenture (the “Indenture”) between the Company and U.S. Bank Trust Company, National Association, as trustee (in such capacity, the “Trustee”). The Indenture will be executed in connection with the Closing under the Note Purchase Agreements. The following is a brief description of the terms of the Indenture and the Convertible Notes to be issued pursuant to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senior unsecured obligations of the Company and will bear interest at a rate of 4.75% per annum from and including the date of the Closing, payable semi-annually in arrears on February 1 and August 1 of each year, beginning on February 1, 2027. The Convertible Notes will mature on August 1, 2031, unless earlier repurchased, redeemed or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May 1, 2031, holders may convert their Convertible Notes at their option only in certain circumstances. At any time from, and including, May 1, 2031 until the close of business on the business day immediately preceding the maturity date, the Convertible Notes will be convertible at the option of the holders. The Company will settle conversions by paying and/or delivering, as applicable, cash, shares of its common stock, or a combination of cash and shares of its common stock, at the Company’s election. The initial conversion rate will be 224.0143 shares of the Company’s common stock per $1,000 principal amount of the Convertible Notes, which is equivalent to an initial conversion price of approximately $4.46 per share of common stock and represents a conversion premium of approximately 20% above the last reported sale price of $3.72 per share of the Company’s common stock on The New York Stock Exchange on July 29, 2026. If a “make-whole fundamental change” (as defined in the Indenture) occurs, or if the Company calls a holder’s Convertible Notes for redemption, then the Company will in certain circumstances increase the conversion rate for a specified period of time for holders who convert their Convertible Notes in connection with that make-whole fundamental change, or who convert their Convertible Notes that are called for such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not be redeemable prior to August 6, 2029. The Convertible Notes will be redeemable, in whole or in part (subject to certain limitations), at the Company’s option at any time, and from time to time, on or after August 6, 2029 and prior to the 41st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the Company’s common stock equals or exceeds 130% of the conversion price for the Convertible Notes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(as defined in the Indenture) occurs, then, subject to certain exceptions, holders may require the Company to repurchase their Convertible Notes at a cash repurchase price equal to the principal amount of the Convertible Notes to be repurchased, plus accrued and unpaid interest, if any, to, but excluding, the fundamental change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governed by customary terms and covenants, including that upon certain events of default, including cross-acceleration to certain other indebtedness of the Company and certain of its subsidiaries, either the Trustee or the holders of not less than 25% in aggregate principal amount of the Convertible Notes then outstanding may declare the principal amount of the Convertible Notes and accrued and unpaid interest, if any, thereon immediately due and payable. In the case of certain events of bankruptcy, insolvency or reorganization relating to the Company, the principal amount of the Convertible Notes and accrued and unpaid interest, if any, thereon will automatically become and be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Indenture and the Convertible Notes does not purport to be complete and is subject to, and qualified in its entirety by, the full text of, the Indenture (including the form of Convertible Note attached thereto), which will be filed with the SEC following, and subject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Agreement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T1 G1 Dallas Solar Module LLC, a wholly owned subsidiary of the Company (the “Borrower”), entered into that certain Waiver, Consent and Amendment No. 8 to Credit Agreement (the “Eighth Amendment”), by and among the Borrower, the lenders party thereto and HSBC Bank USA, N.A., as administrative and collateral agent (in such capacity, the “Agent”), which amends that certain Credit Agreement, dated as of July 16, 2024 (as amended, restated supplemented or otherwise modified from time to time prior to the effectiveness of the Eighth Amendment, the “Existing Credit Agreement”) by and among the Borrower, the Agent and the lenders from time to time party thereto. Subject to the satisfaction of customary conditions precedent and effective as of the Closing, the Eighth Amendment, among other things, (i) amends the Existing Credit Agreement to modify or remove certain requirements relating to Trina Solar Energy Development Pte. Ltd’s (“Trina”) (x) ownership of the Company’s common stock and (y) maintenance of directors appointed by Trina on the Company’s board of directors and (ii) provide certain waivers and consents by the requisite lenders relating 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Eighth Amendment is a summary and is not complete. A copy of the Eighth Amendment is filed herewith as Exhibit 10.1 to this Current Report on Form 8-K, and is incorporated herein by reference, and the above summary is qualified by reference to the terms of the Eighth Amendment set forth in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Creation of a Direct Financial Obligation or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2.03.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entered into the Note Purchase Agreements pursuant to which it agreed to sell $120.0 million aggregate principal amount of the Convertible Notes to the Purchasers in a private placement pursuant to an exemption from the registration requirements of the Securities Act of 1933, as amended (the “Securities Act”). The Company is selling the Convertible Notes to the Purchasers in reliance on the exemption from registration provided by Section 4(a)(2) of the Securities Act. The Company is relying on this exemption from registration based in part on representations made by the Purchasers in the Note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shares of the Company’s common stock are issued upon conversion of the Convertible Notes, they will be issued in transactions anticipated to be exempt from registration under the Securities Act by virtue of Section 3(a)(9) thereof because no commission or other remuneration is expected to be paid in connection with conversion of the Convertible Notes and any resulting issuance of shares of common stock. Initially, a maximum of 32,258,064 shares of the Company’s common stock may be issued upon conversion of the Convertible Notes based on the initial maximum conversion rate of 268.8172 shares of common stock per $1,000 principal amount of Convertible Notes, which is subject to customary anti-dilution adjustment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related to the issuance of the Convertible Notes set forth in Item 1.01 of this Current Report on Form 8-K is incorporated by reference into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issued a press release regarding the Offering. A copy of the press release is attached hereto as Exhibit 99.1 to this Current Report on Form 8-K and is incorporated by reference into this Item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without limitation, statements with respect to the anticipated use of proceeds from the Offering, the expected timing for the Closing of the Offering and the Company’s target to finance the remaining balance of its capital expenditures relating to Phase 1 of G_2 Austin. These statements are neither promises nor guarantees, but involve known and unknown risks, uncertainties and other important factors that may cause actual future events, results, or achievements to be materially different from the Company’s expectations and projections expressed or implied by the forward-looking statements. Important factors include, but are not limited to, those discussed under the caption “Risk Factors” in the Company’s Annual Report on Form 10-K for the year ended December 31, 2025 filed with the SEC on March 31, 2026, as amended and supplemented by Amendment No. 1 on Form 10-K/A filed with the SEC on April 30, 2026, and in the Company’s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the Company’s ability to secure a comprehensive financing solution to fund the remaining capital expenditure for G2_Austin Phase 1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(7) the outcome of any legal proceedings relating to the Company’s products and services, including intellectual property or product liability claims, commercial or contractual disputes, warranty claims, and other proceedings; and (8) the capital-intensive nature of the Company’s business and its ability to raise additional capital on attractive terms or service its debt. The above referenced filings are available on the SEC’s website at www.sec.gov. Forward-looking statements speak only as of the date of this Current Report on Form 8-K and are based on information available to the Company as of the date of this Current Report on Form 8-K, and the Company assumes no obligation to update such forward-looking statements, all of which are expressly qualified by the statements in this section,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7"/>
        <w:gridCol w:w="60"/>
        <w:gridCol w:w="9208"/>
      </w:tblGrid>
      <w:tr>
        <w:trPr/>
        <w:tc>
          <w:tcPr>
            <w:tcW w:w="937"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08"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937"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8" w:type="dxa"/>
            <w:tcBorders/>
            <w:shd w:fill="CCEEFF" w:val="clear"/>
            <w:tcMar>
              <w:bottom w:w="0" w:type="dxa"/>
            </w:tcMar>
            <w:vAlign w:val="center"/>
          </w:tcPr>
          <w:p>
            <w:pPr>
              <w:pStyle w:val="TableContents"/>
              <w:bidi w:val="0"/>
              <w:spacing w:before="0" w:after="283"/>
              <w:jc w:val="both"/>
              <w:rPr/>
            </w:pPr>
            <w:hyperlink w:anchor="ea029971101ex10-1.htm">
              <w:r>
                <w:rPr>
                  <w:rStyle w:val="InternetLink"/>
                </w:rPr>
                <w:t>Waiver, Consent and Amendment No. 8 to Credit Agreement, dated as of July 27, 2026, among T1 G1 Dallas Solar Module LLC, as borrower, the lenders party thereto and HSBC Bank USA, N.A., as administrative agent and collateral agent.</w:t>
              </w:r>
            </w:hyperlink>
          </w:p>
        </w:tc>
      </w:tr>
      <w:tr>
        <w:trPr/>
        <w:tc>
          <w:tcPr>
            <w:tcW w:w="937" w:type="dxa"/>
            <w:tcBorders/>
            <w:shd w:fill="FFFFFF" w:val="clear"/>
            <w:tcMar>
              <w:bottom w:w="0" w:type="dxa"/>
            </w:tcMar>
            <w:vAlign w:val="center"/>
          </w:tcPr>
          <w:p>
            <w:pPr>
              <w:pStyle w:val="TableContents"/>
              <w:bidi w:val="0"/>
              <w:spacing w:before="0" w:after="283"/>
              <w:jc w:val="left"/>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8" w:type="dxa"/>
            <w:tcBorders/>
            <w:shd w:fill="FFFFFF" w:val="clear"/>
            <w:tcMar>
              <w:bottom w:w="0" w:type="dxa"/>
            </w:tcMar>
            <w:vAlign w:val="center"/>
          </w:tcPr>
          <w:p>
            <w:pPr>
              <w:pStyle w:val="TableContents"/>
              <w:bidi w:val="0"/>
              <w:spacing w:before="0" w:after="283"/>
              <w:jc w:val="left"/>
              <w:rPr/>
            </w:pPr>
            <w:hyperlink w:anchor="ea029971101ex99-1.htm">
              <w:r>
                <w:rPr>
                  <w:rStyle w:val="InternetLink"/>
                </w:rPr>
                <w:t>Press Release, dated July 30, 2026.</w:t>
              </w:r>
            </w:hyperlink>
          </w:p>
        </w:tc>
      </w:tr>
      <w:tr>
        <w:trPr/>
        <w:tc>
          <w:tcPr>
            <w:tcW w:w="937"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8"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650"/>
        <w:gridCol w:w="2225"/>
      </w:tblGrid>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b/>
              </w:rPr>
            </w:pPr>
            <w:r>
              <w:rPr>
                <w:b/>
              </w:rPr>
              <w:t>T1 ENERGY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75" w:type="dxa"/>
            <w:gridSpan w:val="2"/>
            <w:tcBorders>
              <w:bottom w:val="single" w:sz="12" w:space="0" w:color="000000"/>
            </w:tcBorders>
            <w:tcMar>
              <w:bottom w:w="28" w:type="dxa"/>
            </w:tcMar>
            <w:vAlign w:val="center"/>
          </w:tcPr>
          <w:p>
            <w:pPr>
              <w:pStyle w:val="TableContents"/>
              <w:bidi w:val="0"/>
              <w:spacing w:before="0" w:after="283"/>
              <w:jc w:val="left"/>
              <w:rPr/>
            </w:pPr>
            <w:r>
              <w:rPr/>
              <w:t>/s/ Evan Calio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Evan Calio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360" w:right="0" w:firstLine="360"/>
        <w:jc w:val="right"/>
        <w:rPr>
          <w:rFonts w:ascii="Times New Roman;Times;Serif" w:hAnsi="Times New Roman;Times;Serif"/>
          <w:b/>
          <w:i w:val="false"/>
          <w:caps w:val="false"/>
          <w:smallCaps w:val="false"/>
          <w:sz w:val="20"/>
        </w:rPr>
      </w:pPr>
      <w:bookmarkStart w:id="22" w:name="ea029971101ex10-1.htm"/>
      <w:bookmarkStart w:id="23" w:name="ksea029971101ex1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0"/>
        <w:ind w:left="360" w:right="0" w:firstLine="360"/>
        <w:jc w:val="right"/>
        <w:rPr>
          <w:caps w:val="false"/>
          <w:smallCaps w:val="false"/>
        </w:rPr>
      </w:pPr>
      <w:r>
        <w:rPr>
          <w:caps w:val="false"/>
          <w:smallCaps w:val="false"/>
        </w:rPr>
        <w:t> </w:t>
      </w:r>
    </w:p>
    <w:p>
      <w:pPr>
        <w:pStyle w:val="TextBody"/>
        <w:bidi w:val="0"/>
        <w:spacing w:before="0" w:after="0"/>
        <w:ind w:left="360" w:right="0" w:firstLine="36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360" w:right="0" w:firstLine="36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CONSENT AND AMENDMENT NO. 8 to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WAIVER, CONSENT AND AMENDMENT NO. 8 TO CREDIT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July 27, 2026, by and among T1 G1 Dallas Solar Module LLC, a Texas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hereto constituting the Required Lenders under the Credit Agreement (defined below) (collectively, the “</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HSBC Bank USA, N.A., a national banking association, as administrative agent for the Lenders (in such capacity, together with any successor administrative agent appointed pursuant to the Loan Documents,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HSBC Bank USA, N.A., a national banking association, as collateral agent for the Secured Parties (in such capacity, together with any successor collateral agent appointed pursuant to the Loan Documents,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and together with the Borrower, the Required Lenders, and the Administrative Agent,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made to that certain Credit Agreement, dated as of July 16, 2024, as modified by that certain Consent, Waiver, Amendment No. 1 to Credit Agreement dated as of December 23, 2024, Amendment No. 2 to Credit Agreement dated as of February 13, 2025, Amendment No. 3 to Credit Agreement dated as of February 28, 2025, Amendment No. 4 to Credit Agreement dated as of March 14, 2025, Amendment No. 5 to Credit Agreement dated as of April 30, 2025, Amendment No. 6 to Credit Agreement dated as of June 30, 2025, Amendment No. 7 to Credit Agreement dated as of November 14, 2025 and Waiver No. 3 to Credit Agreement dated as of June 23, 2026 (and as further amended, restated,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Borrower, the Administrative Agent, the Collateral Agent and the Lenders, pursuant to which, among other things, the Lenders have agreed to extend financing to the Borrower with respect to the development, design, permitting, engineering, procurement, construction, completion, testing, operation and maintenance of a solar photovoltaic module manufacturing facility with a total annual production capacity of 5 GWdc to be located in Wilmer, Texas;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definition of “Change of Control” in Section 1.01 of the Credit Agreement provides, in clause (d) thereof, that a Change of Control occurs if TED ceases to satisfy both of the following requirements: (i) TED retains, directly or indirectly, at least 9.9% of the Sponsor’s common stock (subject to the transition provisions set forth therein), and (ii) the Sponsor’s board of directors consists of at least one director appointed by TED,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Borrower’s efforts to ensure that neither the Borrower nor the Project is subject to the exercise of “effective control” by a “specified foreign entity” (as such terms are used in Section 6.29 of the Credit Agreement) (such efforts, the “</w:t>
      </w:r>
      <w:r>
        <w:rPr>
          <w:rFonts w:ascii="Times New Roman;Times;Serif" w:hAnsi="Times New Roman;Times;Serif"/>
          <w:b w:val="false"/>
          <w:i w:val="false"/>
          <w:caps w:val="false"/>
          <w:smallCaps w:val="false"/>
          <w:sz w:val="20"/>
          <w:u w:val="single"/>
        </w:rPr>
        <w:t>FEOC Restructuring</w:t>
      </w:r>
      <w:r>
        <w:rPr>
          <w:rFonts w:ascii="Times New Roman;Times;Serif" w:hAnsi="Times New Roman;Times;Serif"/>
          <w:b w:val="false"/>
          <w:i w:val="false"/>
          <w:caps w:val="false"/>
          <w:smallCaps w:val="false"/>
          <w:sz w:val="20"/>
        </w:rPr>
        <w:t>”), TED’s right to appoint a director to the board of directors of the Sponsor has been removed, and TED no longer has any director appointed by it serving on the board of directors of the Sponsor, in each case as previously disclosed to the Administrative Agent and the Lenders and as subsequently announced by the Sponsor on a Current Report on Form 8-K filed on December 30, 2025 with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advised the Administrative Agent and the Lenders that the Sponsor intends to consummate certain debt or equity financings, the proceeds of which would be used to fund the Sponsor’s solar cell manufacturing fab in Milam County, Texas with 2.1 gigawatts of capacity, the Sponsor’s working capital and other general corporate purposes, including (a) an issuance and sale of one or more series of convertible notes via a private placement under Section 4(a)(2) of the Securities Act of 1933 and Regulation D promulgated thereunder, (b) an underwritten or non-underwritten public or private offering of shares of the Sponsor’s common stock, whether registered under the Securities Act of 1933 or exempt from registration thereunder, or (c) the issuance and sale of shares of the Sponsor’s common stock under an “at-the-market” offering program that the Sponsor plans to establish (collectively, the “</w:t>
      </w:r>
      <w:r>
        <w:rPr>
          <w:rFonts w:ascii="Times New Roman;Times;Serif" w:hAnsi="Times New Roman;Times;Serif"/>
          <w:b w:val="false"/>
          <w:i w:val="false"/>
          <w:caps w:val="false"/>
          <w:smallCaps w:val="false"/>
          <w:sz w:val="20"/>
          <w:u w:val="single"/>
        </w:rPr>
        <w:t>Specified Equity Transactions</w:t>
      </w:r>
      <w:r>
        <w:rPr>
          <w:rFonts w:ascii="Times New Roman;Times;Serif" w:hAnsi="Times New Roman;Times;Serif"/>
          <w:b w:val="false"/>
          <w:i w:val="false"/>
          <w:caps w:val="false"/>
          <w:smallCaps w:val="false"/>
          <w:sz w:val="20"/>
        </w:rPr>
        <w:t>”), and that the Specified Equity Transactions may, individually or collectively, reduce TED’s ownership of the Sponsor’s common stock below 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absent the waiver, consent and amendment set forth herein, TED ceasing to retain at least 9.9% of the Sponsor’s common stock as a result of the Specified Equity Transactions, would cause this requirement set forth in clause (d) of the definition of “Change of Control” to fail to be satisfied and, as a result, would constitute a Change of Control and an Event of Default under Section 8.01(h) (</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that the Required Lenders (a) waive and consent to such Change of Control and any Default or Event of Default resulting therefrom and (b) amend and restate clause (d) of the definition of “Change of Control” so that it consists solely of a requirement that TED retain, directly or indirectly, at least 5% of the Sponsor’s common stock, in order to conform the Credit Agreement to the FEOC Restructuring, the Specified Equity Transactions and the resulting ownership and governance structure of the Sponsor;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Required Lenders party hereto are willing to grant such waiver and consent and to effect such amendment, in each case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set forth herein and other good and valuable consideration, the receipt and sufficiency of which are hereby acknowledged, the Parties agree as follows:</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val="false"/>
          <w:i w:val="false"/>
          <w:caps w:val="false"/>
          <w:smallCaps w:val="false"/>
          <w:sz w:val="20"/>
        </w:rPr>
        <w:t>Capitalized terms used but not otherwise defined herein shall have the respective meanings assigned to them in the Credit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r>
        <w:rPr>
          <w:rFonts w:ascii="Times New Roman;Times;Serif" w:hAnsi="Times New Roman;Times;Serif"/>
          <w:b/>
          <w:i w:val="false"/>
          <w:caps/>
          <w:sz w:val="20"/>
          <w:u w:val="single"/>
        </w:rPr>
        <w:br/>
        <w:t>WAIVER, CONSENT AND AMENDMENT TO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val="false"/>
          <w:caps w:val="false"/>
          <w:smallCaps w:val="false"/>
          <w:sz w:val="20"/>
          <w:u w:val="single"/>
        </w:rPr>
        <w:t>Waiver and Consent</w:t>
      </w:r>
      <w:r>
        <w:rPr>
          <w:rFonts w:ascii="Times New Roman;Times;Serif" w:hAnsi="Times New Roman;Times;Serif"/>
          <w:b w:val="false"/>
          <w:i w:val="false"/>
          <w:caps w:val="false"/>
          <w:smallCaps w:val="false"/>
          <w:sz w:val="20"/>
        </w:rPr>
        <w:t>. As of, and subject to the occurrence of, the Effective Date, and pursuant to Section 10.03 (</w:t>
      </w:r>
      <w:r>
        <w:rPr>
          <w:rFonts w:ascii="Times New Roman;Times;Serif" w:hAnsi="Times New Roman;Times;Serif"/>
          <w:b w:val="false"/>
          <w:i/>
          <w:caps w:val="false"/>
          <w:smallCaps w:val="false"/>
          <w:sz w:val="20"/>
        </w:rPr>
        <w:t>Amendments and Waivers</w:t>
      </w:r>
      <w:r>
        <w:rPr>
          <w:rFonts w:ascii="Times New Roman;Times;Serif" w:hAnsi="Times New Roman;Times;Serif"/>
          <w:b w:val="false"/>
          <w:i w:val="false"/>
          <w:caps w:val="false"/>
          <w:smallCaps w:val="false"/>
          <w:sz w:val="20"/>
        </w:rPr>
        <w:t>) of the Credit Agreement, the Required Lenders hereby (a) consent to TED ceasing to retain, directly or indirectly, at least 9.9% of the Sponsor’s common stock in connection with the FEOC Restructuring and the Specified Equity Transactions; and (b) waive (i) any Change of Control arising under clause (d) of the definition of “Change of Control” in the Credit Agreement to the extent resulting from the matters described in clause (a) above, and (ii) any Default or Event of Default under Section 8.01(h) (</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of the Credit Agreement arising as a result thereof, in each case whether occurring before, on or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val="false"/>
          <w:caps w:val="false"/>
          <w:smallCaps w:val="false"/>
          <w:sz w:val="20"/>
          <w:u w:val="single"/>
        </w:rPr>
        <w:t>Amendment to Definition of “Change of Control”</w:t>
      </w:r>
      <w:r>
        <w:rPr>
          <w:rFonts w:ascii="Times New Roman;Times;Serif" w:hAnsi="Times New Roman;Times;Serif"/>
          <w:b w:val="false"/>
          <w:i w:val="false"/>
          <w:caps w:val="false"/>
          <w:smallCaps w:val="false"/>
          <w:sz w:val="20"/>
        </w:rPr>
        <w:t>. Pursuant to Section 10.03 (</w:t>
      </w:r>
      <w:r>
        <w:rPr>
          <w:rFonts w:ascii="Times New Roman;Times;Serif" w:hAnsi="Times New Roman;Times;Serif"/>
          <w:b w:val="false"/>
          <w:i/>
          <w:caps w:val="false"/>
          <w:smallCaps w:val="false"/>
          <w:sz w:val="20"/>
        </w:rPr>
        <w:t>Amendments and Waivers</w:t>
      </w:r>
      <w:r>
        <w:rPr>
          <w:rFonts w:ascii="Times New Roman;Times;Serif" w:hAnsi="Times New Roman;Times;Serif"/>
          <w:b w:val="false"/>
          <w:i w:val="false"/>
          <w:caps w:val="false"/>
          <w:smallCaps w:val="false"/>
          <w:sz w:val="20"/>
        </w:rPr>
        <w:t>) of the Credit Agreement, effective as of the Effective Date, the definition of “Change of Control” in Section 1.01 of the Credit Agreement is hereby amended and restated in its entirety to read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Holdings ceases to retain, directly, 95% of the Capital Stock of the Borrower or 100% of the Capital Stock of Trina Blocker;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Trina Blocker ceases to retain, directly, 5% of the Capital Stock of the Borrower;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Sponsor ceases to retain, directly or indirectly, at least 50.1% of the total voting power of shares of stock or other ownership interests entitled (on a fully diluted basis) to vote in the election of the Person or Persons (whether directors, managers, trustees or other Persons performing similar functions) having the power to direct or cause the direction of the management and policies of Borrower;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TED ceases to retain, directly or indirectly, at least 5% of the Sponsor’s common stock.</w:t>
      </w:r>
    </w:p>
    <w:p>
      <w:pPr>
        <w:pStyle w:val="TextBody"/>
        <w:bidi w:val="0"/>
        <w:spacing w:before="0" w:after="0"/>
        <w:ind w:left="4230" w:right="0" w:hanging="0"/>
        <w:jc w:val="left"/>
        <w:rPr>
          <w:caps/>
          <w:strike w:val="false"/>
          <w:dstrike w:val="false"/>
          <w:u w:val="none"/>
          <w:effect w:val="none"/>
        </w:rPr>
      </w:pPr>
      <w:r>
        <w:rPr>
          <w:caps/>
          <w:strike w:val="false"/>
          <w:dstrike w:val="false"/>
          <w:u w:val="none"/>
          <w:effect w:val="non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TO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val="false"/>
          <w:i w:val="false"/>
          <w:caps w:val="false"/>
          <w:smallCaps w:val="false"/>
          <w:sz w:val="20"/>
        </w:rPr>
        <w:t>This Agreement shall become effective on the date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on which each the following conditions shall have been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Executed Documents</w:t>
      </w:r>
      <w:r>
        <w:rPr>
          <w:rFonts w:ascii="Times New Roman;Times;Serif" w:hAnsi="Times New Roman;Times;Serif"/>
          <w:b w:val="false"/>
          <w:i w:val="false"/>
          <w:caps w:val="false"/>
          <w:smallCaps w:val="false"/>
          <w:sz w:val="20"/>
        </w:rPr>
        <w:t>. The Parties (or their respective counsel) shall have received from each of the other Parties a counterpart of this Agreement which has been duly executed on behalf of each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All fees and expenses of the Secured Parties and their counsel that are due and payable as of the Effective Date shall have been, or will be on the Effective Date,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representations and warranties set forth in this Agreement shall be true and correct in all material respects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Specified Equity Transactions</w:t>
      </w:r>
      <w:r>
        <w:rPr>
          <w:rFonts w:ascii="Times New Roman;Times;Serif" w:hAnsi="Times New Roman;Times;Serif"/>
          <w:b w:val="false"/>
          <w:i w:val="false"/>
          <w:caps w:val="false"/>
          <w:smallCaps w:val="false"/>
          <w:sz w:val="20"/>
        </w:rPr>
        <w:t>. The Borrower shall have provided evidence to the Lenders of the closing and/or establishment of the Specified Equity Transactions, as applicable; provided that the filing by the Sponsor of a Current Report on Form 8-K with the U.S. Securities and Exchange Commission, or the issuance by the Sponsor of a press release, in each case announcing (i) the closing of any private placement of convertible notes of the Sponsor, (ii) the closing of any underwritten or non-underwritten public or private offering of shares of the Sponsor’s common stock, or (iii) the establishment of any at-the-market offering program, shall in each case constitute sufficient evidence of the closing or establishment (as applicable) of the relevant Specified Equity Transaction for purposes of this Section 3.01(d).</w:t>
      </w:r>
    </w:p>
    <w:p>
      <w:pPr>
        <w:pStyle w:val="TextBody"/>
        <w:bidi w:val="0"/>
        <w:spacing w:before="0" w:after="0"/>
        <w:ind w:left="4230" w:right="0" w:hanging="0"/>
        <w:jc w:val="left"/>
        <w:rPr>
          <w:caps/>
          <w:strike w:val="false"/>
          <w:dstrike w:val="false"/>
          <w:u w:val="none"/>
          <w:effect w:val="none"/>
        </w:rPr>
      </w:pPr>
      <w:r>
        <w:rPr>
          <w:caps/>
          <w:strike w:val="false"/>
          <w:dstrike w:val="false"/>
          <w:u w:val="none"/>
          <w:effect w:val="non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val="false"/>
          <w:i w:val="false"/>
          <w:caps w:val="false"/>
          <w:smallCaps w:val="false"/>
          <w:sz w:val="20"/>
        </w:rPr>
        <w:t>The Borrower hereby represents and warrants to the Lenders parties hereto and the Administrative Agent, as of the date hereof and as of the Effective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has been duly executed and delivered by it and this Agreement, the Credit Agreement and the other Loan Documents to which it is party as in effect on the date hereof constitute the legal, valid and binding obligations of it, enforceable against it in accordance with their respective terms except as enforceability may be limited by applicable bankruptcy, insolvency or similar laws affecting the enforcement of creditor’s rights generally or by equitable principles relating to enforceability;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its execution, delivery and performance of this Agreement and its performance of, respectively, the Credit Agreement and the other Loan Documents to which it is party as in effect on the date hereof, have been duly authorized by all necessary limited liability company or corporate action and do not: (i) contravene the terms of its charter, bylaws, or other organizational documents, as applicable, (ii) violate any law or regulations, or any order or decree of any court or Governmental Authority, (iii) conflict with or result in the breach or termination of, constitute a default under or result in or permit the acceleration of any performance required by, any indenture, mortgage, deed of trust, lease, agreement or other instrument to which the Borrower is a party or by which the Borrower or any of its property is bound, (iv) result in the creation or imposition of any Lien upon any of its property other than those in favor of the Collateral Agent pursuant to the Loan Documents, or (v) require the consent or approval of any Governmental Authority or any other Person.</w:t>
      </w:r>
    </w:p>
    <w:p>
      <w:pPr>
        <w:pStyle w:val="TextBody"/>
        <w:bidi w:val="0"/>
        <w:spacing w:before="0" w:after="0"/>
        <w:ind w:left="4230" w:right="0" w:hanging="0"/>
        <w:jc w:val="left"/>
        <w:rPr>
          <w:caps/>
          <w:strike w:val="false"/>
          <w:dstrike w:val="false"/>
          <w:u w:val="none"/>
          <w:effect w:val="none"/>
        </w:rPr>
      </w:pPr>
      <w:r>
        <w:rPr>
          <w:caps/>
          <w:strike w:val="false"/>
          <w:dstrike w:val="false"/>
          <w:u w:val="none"/>
          <w:effect w:val="non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val="false"/>
          <w:caps w:val="false"/>
          <w:smallCaps w:val="false"/>
          <w:sz w:val="20"/>
          <w:u w:val="single"/>
        </w:rPr>
        <w:t>Reference to Credit Agreement</w:t>
      </w:r>
      <w:r>
        <w:rPr>
          <w:rFonts w:ascii="Times New Roman;Times;Serif" w:hAnsi="Times New Roman;Times;Serif"/>
          <w:b w:val="false"/>
          <w:i w:val="false"/>
          <w:caps w:val="false"/>
          <w:smallCaps w:val="false"/>
          <w:sz w:val="20"/>
        </w:rPr>
        <w:t>. On and after the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and shall inure to the benefit of the Parties and their respective successors, transferees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val="false"/>
          <w:caps w:val="false"/>
          <w:smallCaps w:val="false"/>
          <w:sz w:val="20"/>
          <w:u w:val="single"/>
        </w:rPr>
        <w:t>Governing Law, etc</w:t>
      </w:r>
      <w:r>
        <w:rPr>
          <w:rFonts w:ascii="Times New Roman;Times;Serif" w:hAnsi="Times New Roman;Times;Serif"/>
          <w:b w:val="false"/>
          <w:i w:val="false"/>
          <w:caps w:val="false"/>
          <w:smallCaps w:val="false"/>
          <w:sz w:val="20"/>
        </w:rPr>
        <w:t>. Sections 1.02 (</w:t>
      </w:r>
      <w:r>
        <w:rPr>
          <w:rFonts w:ascii="Times New Roman;Times;Serif" w:hAnsi="Times New Roman;Times;Serif"/>
          <w:b w:val="false"/>
          <w:i/>
          <w:caps w:val="false"/>
          <w:smallCaps w:val="false"/>
          <w:sz w:val="20"/>
        </w:rPr>
        <w:t>Computation of Time Periods; Other Definitional Provisions</w:t>
      </w:r>
      <w:r>
        <w:rPr>
          <w:rFonts w:ascii="Times New Roman;Times;Serif" w:hAnsi="Times New Roman;Times;Serif"/>
          <w:b w:val="false"/>
          <w:i w:val="false"/>
          <w:caps w:val="false"/>
          <w:smallCaps w:val="false"/>
          <w:sz w:val="20"/>
        </w:rPr>
        <w:t>), 10.01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10.02 (</w:t>
      </w:r>
      <w:r>
        <w:rPr>
          <w:rFonts w:ascii="Times New Roman;Times;Serif" w:hAnsi="Times New Roman;Times;Serif"/>
          <w:b w:val="false"/>
          <w:i/>
          <w:caps w:val="false"/>
          <w:smallCaps w:val="false"/>
          <w:sz w:val="20"/>
        </w:rPr>
        <w:t>Expenses; Indemnity; Damage Waiver</w:t>
      </w:r>
      <w:r>
        <w:rPr>
          <w:rFonts w:ascii="Times New Roman;Times;Serif" w:hAnsi="Times New Roman;Times;Serif"/>
          <w:b w:val="false"/>
          <w:i w:val="false"/>
          <w:caps w:val="false"/>
          <w:smallCaps w:val="false"/>
          <w:sz w:val="20"/>
        </w:rPr>
        <w:t>), 10.12 (</w:t>
      </w:r>
      <w:r>
        <w:rPr>
          <w:rFonts w:ascii="Times New Roman;Times;Serif" w:hAnsi="Times New Roman;Times;Serif"/>
          <w:b w:val="false"/>
          <w:i/>
          <w:caps w:val="false"/>
          <w:smallCaps w:val="false"/>
          <w:sz w:val="20"/>
        </w:rPr>
        <w:t>Governing Law; Jurisdiction; Etc.</w:t>
      </w:r>
      <w:r>
        <w:rPr>
          <w:rFonts w:ascii="Times New Roman;Times;Serif" w:hAnsi="Times New Roman;Times;Serif"/>
          <w:b w:val="false"/>
          <w:i w:val="false"/>
          <w:caps w:val="false"/>
          <w:smallCaps w:val="false"/>
          <w:sz w:val="20"/>
        </w:rPr>
        <w:t>), 10.13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10.14 (</w:t>
      </w:r>
      <w:r>
        <w:rPr>
          <w:rFonts w:ascii="Times New Roman;Times;Serif" w:hAnsi="Times New Roman;Times;Serif"/>
          <w:b w:val="false"/>
          <w:i/>
          <w:caps w:val="false"/>
          <w:smallCaps w:val="false"/>
          <w:sz w:val="20"/>
        </w:rPr>
        <w:t>Treatment of Certain Information; Confidentiality</w:t>
      </w:r>
      <w:r>
        <w:rPr>
          <w:rFonts w:ascii="Times New Roman;Times;Serif" w:hAnsi="Times New Roman;Times;Serif"/>
          <w:b w:val="false"/>
          <w:i w:val="false"/>
          <w:caps w:val="false"/>
          <w:smallCaps w:val="false"/>
          <w:sz w:val="20"/>
        </w:rPr>
        <w:t>) and 10.16 (</w:t>
      </w:r>
      <w:r>
        <w:rPr>
          <w:rFonts w:ascii="Times New Roman;Times;Serif" w:hAnsi="Times New Roman;Times;Serif"/>
          <w:b w:val="false"/>
          <w:i/>
          <w:caps w:val="false"/>
          <w:smallCaps w:val="false"/>
          <w:sz w:val="20"/>
        </w:rPr>
        <w:t>Counterparts; Integration; Effectiveness</w:t>
      </w:r>
      <w:r>
        <w:rPr>
          <w:rFonts w:ascii="Times New Roman;Times;Serif" w:hAnsi="Times New Roman;Times;Serif"/>
          <w:b w:val="false"/>
          <w:i w:val="false"/>
          <w:caps w:val="false"/>
          <w:smallCaps w:val="false"/>
          <w:sz w:val="20"/>
        </w:rPr>
        <w:t>) of the Credit Agreement are hereby incorporated herein by reference, mutatis mutandis.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All headings used herein are for reference only, are not part of this Agreement and are not to affect the construction of, or to be taken into consideration in interpreting,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val="false"/>
          <w:caps w:val="false"/>
          <w:smallCaps w:val="false"/>
          <w:sz w:val="20"/>
          <w:u w:val="single"/>
        </w:rPr>
        <w:t>Loan Document</w:t>
      </w:r>
      <w:r>
        <w:rPr>
          <w:rFonts w:ascii="Times New Roman;Times;Serif" w:hAnsi="Times New Roman;Times;Serif"/>
          <w:b w:val="false"/>
          <w:i w:val="false"/>
          <w:caps w:val="false"/>
          <w:smallCaps w:val="false"/>
          <w:sz w:val="20"/>
        </w:rPr>
        <w:t>. This Agreement shall be a “Loan Document” for purposes of the definition thereof in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val="false"/>
          <w:caps w:val="false"/>
          <w:smallCaps w:val="false"/>
          <w:sz w:val="20"/>
          <w:u w:val="single"/>
        </w:rPr>
        <w:t>No Modification; No Other Matters</w:t>
      </w:r>
      <w:r>
        <w:rPr>
          <w:rFonts w:ascii="Times New Roman;Times;Serif" w:hAnsi="Times New Roman;Times;Serif"/>
          <w:b w:val="false"/>
          <w:i w:val="false"/>
          <w:caps w:val="false"/>
          <w:smallCaps w:val="false"/>
          <w:sz w:val="20"/>
        </w:rPr>
        <w:t>. Except as expressly provided for herein, the terms and conditions of the Loan Documents shall continue unchanged and shall remain in full force and effect and are hereby ratified and affirmed. This Agreement is limited in effect and shall apply solely to the matters set forth herein and to the extent expressly set forth herein and shall not be deemed or construed as an amendment, waiver or consent of any other matters. Except as expressly provided herein, nothing herein shall be construed as or deemed to be a waiver or consent by Administrative Agent or any Lender of any past, present or future breach or non-compliance with any terms or provisions contained in any Loan Document, and nothing herein shall abrogate, prejudice, diminish or otherwise affect any powers, rights, remedies or obligations of any Person arising before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val="false"/>
          <w:caps w:val="false"/>
          <w:smallCaps w:val="false"/>
          <w:sz w:val="20"/>
          <w:u w:val="single"/>
        </w:rPr>
        <w:t>Lender Direction to Agents</w:t>
      </w:r>
      <w:r>
        <w:rPr>
          <w:rFonts w:ascii="Times New Roman;Times;Serif" w:hAnsi="Times New Roman;Times;Serif"/>
          <w:b w:val="false"/>
          <w:i w:val="false"/>
          <w:caps w:val="false"/>
          <w:smallCaps w:val="false"/>
          <w:sz w:val="20"/>
        </w:rPr>
        <w:t>. The Lenders party hereto, constituting not less than the Required Lenders, hereby authorize and direct the Administrative Agent and the Collateral Agent to enter into this Agreement. Each Party acknowledges and agrees that the provisions of Article IX (</w:t>
      </w:r>
      <w:r>
        <w:rPr>
          <w:rFonts w:ascii="Times New Roman;Times;Serif" w:hAnsi="Times New Roman;Times;Serif"/>
          <w:b w:val="false"/>
          <w:i/>
          <w:caps w:val="false"/>
          <w:smallCaps w:val="false"/>
          <w:sz w:val="20"/>
        </w:rPr>
        <w:t>The Agents</w:t>
      </w:r>
      <w:r>
        <w:rPr>
          <w:rFonts w:ascii="Times New Roman;Times;Serif" w:hAnsi="Times New Roman;Times;Serif"/>
          <w:b w:val="false"/>
          <w:i w:val="false"/>
          <w:caps w:val="false"/>
          <w:smallCaps w:val="false"/>
          <w:sz w:val="20"/>
        </w:rPr>
        <w:t>) of the Credit Agreement shall apply to any and all actions taken by the Administrative Agent and the Collateral Agent in accordance with such direction and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 this page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as of the date first written above.</w:t>
      </w:r>
    </w:p>
    <w:p>
      <w:pPr>
        <w:pStyle w:val="TextBody"/>
        <w:bidi w:val="0"/>
        <w:spacing w:before="0" w:after="0"/>
        <w:ind w:left="576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972"/>
        <w:gridCol w:w="3397"/>
      </w:tblGrid>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BORROWER:</w:t>
            </w:r>
          </w:p>
        </w:tc>
      </w:tr>
      <w:tr>
        <w:trPr/>
        <w:tc>
          <w:tcPr>
            <w:tcW w:w="75"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 </w:t>
            </w:r>
          </w:p>
        </w:tc>
        <w:tc>
          <w:tcPr>
            <w:tcW w:w="33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T1 G1 DALLAS SOLAR MODULE LLC</w:t>
            </w:r>
          </w:p>
        </w:tc>
      </w:tr>
      <w:tr>
        <w:trPr/>
        <w:tc>
          <w:tcPr>
            <w:tcW w:w="75"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 </w:t>
            </w:r>
          </w:p>
        </w:tc>
        <w:tc>
          <w:tcPr>
            <w:tcW w:w="3397"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39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Evan Calio</w:t>
            </w:r>
          </w:p>
        </w:tc>
      </w:tr>
      <w:tr>
        <w:trPr/>
        <w:tc>
          <w:tcPr>
            <w:tcW w:w="75"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Evan Calio</w:t>
            </w:r>
          </w:p>
        </w:tc>
      </w:tr>
      <w:tr>
        <w:trPr/>
        <w:tc>
          <w:tcPr>
            <w:tcW w:w="75"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and Treasurer</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Waiver, Consent and Amendment No. 8 to Credit Agreement</w:t>
      </w:r>
      <w:r>
        <w:rPr>
          <w:rFonts w:ascii="Times New Roman;Times;Serif" w:hAnsi="Times New Roman;Times;Serif"/>
          <w:b w:val="false"/>
          <w:i w:val="false"/>
          <w:caps w:val="false"/>
          <w:smallCaps w:val="false"/>
          <w:sz w:val="20"/>
        </w:rPr>
        <w:t>]</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853"/>
        <w:gridCol w:w="2391"/>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ADMINISTRATIVE AGENT:</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HSBC BANK USA, N.A.</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91" w:type="dxa"/>
            <w:tcBorders>
              <w:bottom w:val="single" w:sz="12" w:space="0" w:color="000000"/>
            </w:tcBorders>
            <w:tcMar>
              <w:bottom w:w="28" w:type="dxa"/>
            </w:tcMar>
            <w:vAlign w:val="center"/>
          </w:tcPr>
          <w:p>
            <w:pPr>
              <w:pStyle w:val="TableContents"/>
              <w:bidi w:val="0"/>
              <w:spacing w:before="0" w:after="283"/>
              <w:jc w:val="left"/>
              <w:rPr/>
            </w:pPr>
            <w:r>
              <w:rPr/>
              <w:t>/s/ Bertha Gallardo</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91" w:type="dxa"/>
            <w:tcBorders/>
            <w:vAlign w:val="center"/>
          </w:tcPr>
          <w:p>
            <w:pPr>
              <w:pStyle w:val="TableContents"/>
              <w:bidi w:val="0"/>
              <w:spacing w:before="0" w:after="283"/>
              <w:jc w:val="left"/>
              <w:rPr/>
            </w:pPr>
            <w:r>
              <w:rPr/>
              <w:t>Bertha Gallardo</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91" w:type="dxa"/>
            <w:tcBorders/>
            <w:vAlign w:val="center"/>
          </w:tcPr>
          <w:p>
            <w:pPr>
              <w:pStyle w:val="TableContents"/>
              <w:bidi w:val="0"/>
              <w:spacing w:before="0" w:after="283"/>
              <w:jc w:val="left"/>
              <w:rPr/>
            </w:pPr>
            <w:r>
              <w:rPr/>
              <w:t>Vice President</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COLLATERAL AGENT:</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HSBC BANK USA, N.A.</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91" w:type="dxa"/>
            <w:tcBorders>
              <w:bottom w:val="single" w:sz="12" w:space="0" w:color="000000"/>
            </w:tcBorders>
            <w:tcMar>
              <w:bottom w:w="28" w:type="dxa"/>
            </w:tcMar>
            <w:vAlign w:val="center"/>
          </w:tcPr>
          <w:p>
            <w:pPr>
              <w:pStyle w:val="TableContents"/>
              <w:bidi w:val="0"/>
              <w:spacing w:before="0" w:after="283"/>
              <w:jc w:val="left"/>
              <w:rPr/>
            </w:pPr>
            <w:r>
              <w:rPr/>
              <w:t>/s/ Bertha Gallardo</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91" w:type="dxa"/>
            <w:tcBorders/>
            <w:vAlign w:val="center"/>
          </w:tcPr>
          <w:p>
            <w:pPr>
              <w:pStyle w:val="TableContents"/>
              <w:bidi w:val="0"/>
              <w:spacing w:before="0" w:after="283"/>
              <w:jc w:val="left"/>
              <w:rPr/>
            </w:pPr>
            <w:r>
              <w:rPr/>
              <w:t>Bertha Gallardo</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91"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Waiver, Consent and Amendment No. 8 to Credit Agreement</w:t>
      </w:r>
      <w:r>
        <w:rPr>
          <w:rFonts w:ascii="Times New Roman;Times;Serif" w:hAnsi="Times New Roman;Times;Serif"/>
          <w:b w:val="false"/>
          <w:i w:val="false"/>
          <w:caps w:val="false"/>
          <w:smallCaps w:val="false"/>
          <w:sz w:val="20"/>
        </w:rPr>
        <w:t>]</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650"/>
        <w:gridCol w:w="6425"/>
      </w:tblGrid>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LENDERS: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SOCIÉTÉ GÉNÉRALE,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Lender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64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Stephania Vasilieva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Stephania Vasilieva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425" w:type="dxa"/>
            <w:tcBorders/>
            <w:vAlign w:val="center"/>
          </w:tcPr>
          <w:p>
            <w:pPr>
              <w:pStyle w:val="TableContents"/>
              <w:bidi w:val="0"/>
              <w:spacing w:before="0" w:after="283"/>
              <w:jc w:val="left"/>
              <w:rPr/>
            </w:pPr>
            <w:r>
              <w:rPr/>
              <w:t>Vice-President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b/>
              </w:rPr>
            </w:pPr>
            <w:r>
              <w:rPr>
                <w:b/>
              </w:rPr>
              <w:t>HSBC BANK USA, N.A.,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425" w:type="dxa"/>
            <w:tcBorders>
              <w:bottom w:val="single" w:sz="12" w:space="0" w:color="000000"/>
            </w:tcBorders>
            <w:tcMar>
              <w:bottom w:w="28" w:type="dxa"/>
            </w:tcMar>
            <w:vAlign w:val="center"/>
          </w:tcPr>
          <w:p>
            <w:pPr>
              <w:pStyle w:val="TableContents"/>
              <w:bidi w:val="0"/>
              <w:spacing w:before="0" w:after="283"/>
              <w:jc w:val="left"/>
              <w:rPr/>
            </w:pPr>
            <w:r>
              <w:rPr/>
              <w:t>/s/ Karun Chopra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425" w:type="dxa"/>
            <w:tcBorders/>
            <w:vAlign w:val="center"/>
          </w:tcPr>
          <w:p>
            <w:pPr>
              <w:pStyle w:val="TableContents"/>
              <w:bidi w:val="0"/>
              <w:spacing w:before="0" w:after="283"/>
              <w:jc w:val="left"/>
              <w:rPr/>
            </w:pPr>
            <w:r>
              <w:rPr/>
              <w:t>Karun Chopra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425" w:type="dxa"/>
            <w:tcBorders/>
            <w:vAlign w:val="center"/>
          </w:tcPr>
          <w:p>
            <w:pPr>
              <w:pStyle w:val="TableContents"/>
              <w:bidi w:val="0"/>
              <w:spacing w:before="0" w:after="283"/>
              <w:jc w:val="left"/>
              <w:rPr/>
            </w:pPr>
            <w:r>
              <w:rPr/>
              <w:t>Director, HSBC Infrastructure Finance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b/>
              </w:rPr>
            </w:pPr>
            <w:r>
              <w:rPr>
                <w:b/>
              </w:rPr>
              <w:t>STANDARD CHARTERED BANK,</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425" w:type="dxa"/>
            <w:tcBorders>
              <w:bottom w:val="single" w:sz="12" w:space="0" w:color="000000"/>
            </w:tcBorders>
            <w:tcMar>
              <w:bottom w:w="28" w:type="dxa"/>
            </w:tcMar>
            <w:vAlign w:val="center"/>
          </w:tcPr>
          <w:p>
            <w:pPr>
              <w:pStyle w:val="TableContents"/>
              <w:bidi w:val="0"/>
              <w:spacing w:before="0" w:after="283"/>
              <w:jc w:val="left"/>
              <w:rPr/>
            </w:pPr>
            <w:r>
              <w:rPr/>
              <w:t>/s/ Chloe Petrich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425" w:type="dxa"/>
            <w:tcBorders/>
            <w:vAlign w:val="center"/>
          </w:tcPr>
          <w:p>
            <w:pPr>
              <w:pStyle w:val="TableContents"/>
              <w:bidi w:val="0"/>
              <w:spacing w:before="0" w:after="283"/>
              <w:jc w:val="left"/>
              <w:rPr/>
            </w:pPr>
            <w:r>
              <w:rPr/>
              <w:t>Chloe Petrich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425" w:type="dxa"/>
            <w:tcBorders/>
            <w:vAlign w:val="center"/>
          </w:tcPr>
          <w:p>
            <w:pPr>
              <w:pStyle w:val="TableContents"/>
              <w:bidi w:val="0"/>
              <w:spacing w:before="0" w:after="283"/>
              <w:jc w:val="left"/>
              <w:rPr/>
            </w:pPr>
            <w:r>
              <w:rPr/>
              <w:t>Executive Director, Infrastructure and Development Finance Group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Waiver, Consent and Amendment No. 8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971101ex99-1.htm"/>
      <w:bookmarkStart w:id="25" w:name="ksea0299711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60" w:type="dxa"/>
          <w:right w:w="0" w:type="dxa"/>
        </w:tblCellMar>
      </w:tblPr>
      <w:tblGrid>
        <w:gridCol w:w="1695"/>
        <w:gridCol w:w="1385"/>
      </w:tblGrid>
      <w:tr>
        <w:trPr/>
        <w:tc>
          <w:tcPr>
            <w:tcW w:w="1695" w:type="dxa"/>
            <w:tcBorders>
              <w:bottom w:val="single" w:sz="12" w:space="0" w:color="000000"/>
            </w:tcBorders>
            <w:vAlign w:val="center"/>
          </w:tcPr>
          <w:p>
            <w:pPr>
              <w:pStyle w:val="TableContents"/>
              <w:bidi w:val="0"/>
              <w:spacing w:before="0" w:after="283"/>
              <w:jc w:val="left"/>
              <w:rPr/>
            </w:pPr>
            <w:r>
              <w:rPr/>
              <w:drawing>
                <wp:inline distT="0" distB="0" distL="0" distR="0">
                  <wp:extent cx="10668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371475"/>
                          </a:xfrm>
                          <a:prstGeom prst="rect">
                            <a:avLst/>
                          </a:prstGeom>
                        </pic:spPr>
                      </pic:pic>
                    </a:graphicData>
                  </a:graphic>
                </wp:inline>
              </w:drawing>
            </w:r>
          </w:p>
        </w:tc>
        <w:tc>
          <w:tcPr>
            <w:tcW w:w="1385" w:type="dxa"/>
            <w:tcBorders>
              <w:bottom w:val="single" w:sz="12" w:space="0" w:color="000000"/>
            </w:tcBorders>
            <w:vAlign w:val="center"/>
          </w:tcPr>
          <w:p>
            <w:pPr>
              <w:pStyle w:val="TableContents"/>
              <w:bidi w:val="0"/>
              <w:spacing w:before="0" w:after="283"/>
              <w:jc w:val="right"/>
              <w:rPr/>
            </w:pPr>
            <w:r>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Announces Private Placement of Convertible Notes Due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AUSTIN, Texas and NEW YORK, July 30, 2026</w:t>
      </w:r>
      <w:r>
        <w:rPr>
          <w:rFonts w:ascii="Times New Roman;Times;Serif" w:hAnsi="Times New Roman;Times;Serif"/>
          <w:b w:val="false"/>
          <w:i w:val="false"/>
          <w:caps w:val="false"/>
          <w:smallCaps w:val="false"/>
          <w:sz w:val="20"/>
        </w:rPr>
        <w:t xml:space="preserve"> -- T1 Energy Inc. (NYSE: TE) (“T1,” “T1 Energy,” or the “Company”) today announced that it had entered into note purchase agreements with a group of investors related to a private offering (the “Offering”) of $120.0 million aggregate principal amount of 4.75% convertible senior notes due 2031 (the “Notes”). The Offering is expected to close on July 31,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the sale of the Notes are expected to be $120.0 million, prior to deducting fees and estimated offering expenses. T1 expects to use the net proceeds of the Offering for (i) construction and development of infrastructure and purchase of production line equipment relating to Phase 1 of its G2_Austin solar cell fab (“G2_Austin”) and (ii) general corporate purposes. The net proceeds of the Offering are intended as a bridge to a comprehensive financing solution, which includes a significant debt component, to fund the remaining capital expenditures for Phase 1 of G2_Austin that T1 continues to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T1 and interest will be payable semi-annually in arrears on February 1 and August 1 of each year, beginning on February 1, 2027. The Notes will mature on August 1, 2031, unless earlier repurchased, redeemed or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May 1, 2031, holders may convert their Notes at their option only in certain circumstances. At any time from, and including, May 1, 2031 until the close of business on the business day immediately preceding the maturity date, the Notes will be convertible at the option of the holders. T1 will settle conversions by paying and/or delivering, at T1’s election, cash, shares of its common stock, or a combination of cash and shares of its common stock. The initial conversion rate will be 224.0143 shares of T1’s common stock per $1,000 principal amount of the Notes, which is equivalent to an initial conversion price of approximately $4.46 per share of common stock and represents a conversion premium of approximately 20% above the last reported sale price of $3.72 per share of T1’s common stock on The New York Stock Exchange on July 29, 2026. If a “make-whole fundamental change” (as defined in the indenture that will govern the Notes) occurs, or if T1 calls a holder’s Notes for redemption, then T1 will in certain circumstances increase the conversion rate for a specified period of time for holders who convert their Notes in connection with that make-whole fundamental change, or who convert their Notes that are called for such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redeemable prior to August 6, 2029. The Notes will be redeemable, in whole or in part (subject to certain limitations), at T1’s option at any time, and from time to time, on or after August 6, 2029 and prior to the 41st scheduled trading day immediately before the maturity date, at a cash redemption price equal to the principal amount of the Notes to be redeemed, plus accrued and unpaid interest, if any, to, but excluding, the redemption date, but only if the last reported sale price per share of the T1’s common stock equals or exceeds 130% of the conversion price for the Notes on (1) each of at least 20 trading days, whether or not consecutive, during the 30 consecutive trading days ending on, and including, the trading day immediately before the date T1 sends the related redemption notice; and (2) the trading day immediately before the date T1 sends such notice.</w:t>
      </w:r>
    </w:p>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475"/>
        <w:gridCol w:w="1865"/>
      </w:tblGrid>
      <w:tr>
        <w:trPr/>
        <w:tc>
          <w:tcPr>
            <w:tcW w:w="1475" w:type="dxa"/>
            <w:tcBorders/>
            <w:vAlign w:val="center"/>
          </w:tcPr>
          <w:p>
            <w:pPr>
              <w:pStyle w:val="TableContents"/>
              <w:bidi w:val="0"/>
              <w:spacing w:before="0" w:after="283"/>
              <w:jc w:val="left"/>
              <w:rPr/>
            </w:pPr>
            <w:r>
              <w:rPr/>
              <w:t>T1 Energy Inc.</w:t>
            </w:r>
          </w:p>
        </w:tc>
        <w:tc>
          <w:tcPr>
            <w:tcW w:w="1865" w:type="dxa"/>
            <w:tcBorders/>
            <w:vAlign w:val="center"/>
          </w:tcPr>
          <w:p>
            <w:pPr>
              <w:pStyle w:val="TableContents"/>
              <w:bidi w:val="0"/>
              <w:spacing w:before="0" w:after="283"/>
              <w:jc w:val="right"/>
              <w:rPr/>
            </w:pPr>
            <w:r>
              <w:rPr/>
              <w:t xml:space="preserve">News Release     1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(as defined in the indenture that will govern the Notes) occurs, then, subject to certain exceptions, holders may require T1 to repurchase their Notes at a cash repurchase price equal to the principal amount of the Notes to be repurchased, plus accrued and unpaid interest, if any, to, but excluding, the fundamental change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to be sold in the Offering were only offered to persons reasonably believed to be qualified institutional buyers under the Securities Act of 1933, as amended (the “Securities Act”). The Notes and any shares of T1’s common stock potentially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 The Company has agreed to file a registration statement with the U.S. Securities and Exchange Commission (the “SEC”) registering the resale of the shares of common stock issuable upon conversion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T1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 (NYSE: TE) is an energy solutions provider building an integrated U.S. supply chain for solar. In December 2024, T1 completed a transformative transaction, positioning the Company as one of the leading solar manufacturing companies in the U.S., with a complementary solar storage strategy. Based in the U.S. with plans to expand its operations in America, the Company is also exploring value optimization opportunities across its portfolio of assets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Jeffrey Spittel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Investor Relations and Corporate Development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jeffrey.spittel@T1energy.com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+1 409 599 5706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Russell Gold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Strategic Communications</w:t>
        <w:br/>
        <w:t>russell.gold@T1energy.com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+1 214 616 9715</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475"/>
        <w:gridCol w:w="1865"/>
      </w:tblGrid>
      <w:tr>
        <w:trPr/>
        <w:tc>
          <w:tcPr>
            <w:tcW w:w="1475" w:type="dxa"/>
            <w:tcBorders/>
            <w:vAlign w:val="center"/>
          </w:tcPr>
          <w:p>
            <w:pPr>
              <w:pStyle w:val="TableContents"/>
              <w:bidi w:val="0"/>
              <w:spacing w:before="0" w:after="283"/>
              <w:jc w:val="left"/>
              <w:rPr/>
            </w:pPr>
            <w:r>
              <w:rPr/>
              <w:t>T1 Energy Inc.</w:t>
            </w:r>
          </w:p>
        </w:tc>
        <w:tc>
          <w:tcPr>
            <w:tcW w:w="1865" w:type="dxa"/>
            <w:tcBorders/>
            <w:vAlign w:val="center"/>
          </w:tcPr>
          <w:p>
            <w:pPr>
              <w:pStyle w:val="TableContents"/>
              <w:bidi w:val="0"/>
              <w:spacing w:before="0" w:after="283"/>
              <w:jc w:val="right"/>
              <w:rPr/>
            </w:pPr>
            <w:r>
              <w:rPr/>
              <w:t xml:space="preserve">News Release     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Concerning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with respect to the anticipated use of proceeds from the Offering, the expected timing for closing of the Offering and T1’s target to finance the remaining balance of its capital expenditures relating to Phase 1 of G_2 Austin. These statements are neither promises nor guarantees, but involve known and unknown risks, uncertainties and other important factors that may cause actual future events, results, or achievements to be materially different from T1’s expectations and projections expressed or implied by the forward-looking statements. Important factors include, but are not limited to, those discussed under the caption “Risk Factors” in T1’s Annual Report on Form 10-K for the year ended December 31, 2025 filed with the SEC on March 31, 2026, as amended and supplemented by Amendment No. 1 on Form 10-K/A filed with the SEC on April 30, 2026, and in T1’s other filings with the SEC, including risks related to: (1) T1’s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T1’s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T1’s ability to secure a comprehensive financing solution to fund the remaining capital expenditure for G2_Austin Phase 1 on favorable terms, or at all, and the timing of such financing; (3) the concentration of T1’s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T1’s products and competitive position; (7) the outcome of any legal proceedings relating to T1’s products and services, including intellectual property or product liability claims, commercial or contractual disputes, warranty claims, and other proceedings; and (8) the capital-intensive nature of T1’s business and its ability to raise additional capital on attractive terms or service its debt. The above referenced filings are available on the SEC’s website at www.sec.gov. Forward-looking statements speak only as of the date of this press release and are based on information available to T1 as of the date of this press release, and T1 assumes no obligation to update such forward-looking statements, all of which are expressly qualified by the statements in this section, whether as a result of new information, future events or otherwise, except as required by law.</w:t>
      </w:r>
    </w:p>
    <w:p>
      <w:pPr>
        <w:pStyle w:val="TextBody"/>
        <w:bidi w:val="0"/>
        <w:spacing w:before="0" w:after="0"/>
        <w:jc w:val="center"/>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475"/>
        <w:gridCol w:w="1865"/>
      </w:tblGrid>
      <w:tr>
        <w:trPr/>
        <w:tc>
          <w:tcPr>
            <w:tcW w:w="1475" w:type="dxa"/>
            <w:tcBorders/>
            <w:vAlign w:val="center"/>
          </w:tcPr>
          <w:p>
            <w:pPr>
              <w:pStyle w:val="TableContents"/>
              <w:bidi w:val="0"/>
              <w:spacing w:before="0" w:after="283"/>
              <w:jc w:val="left"/>
              <w:rPr/>
            </w:pPr>
            <w:r>
              <w:rPr/>
              <w:t>T1 Energy Inc.</w:t>
            </w:r>
          </w:p>
        </w:tc>
        <w:tc>
          <w:tcPr>
            <w:tcW w:w="1865" w:type="dxa"/>
            <w:tcBorders/>
            <w:vAlign w:val="center"/>
          </w:tcPr>
          <w:p>
            <w:pPr>
              <w:pStyle w:val="TableContents"/>
              <w:bidi w:val="0"/>
              <w:spacing w:before="0" w:after="283"/>
              <w:jc w:val="right"/>
              <w:rPr/>
            </w:pPr>
            <w:r>
              <w:rPr/>
              <w:t xml:space="preserve">News Release     3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6733</Words>
  <Characters>35917</Characters>
  <CharactersWithSpaces>42710</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