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775-8k_t1energy.htm"/>
      <w:bookmarkStart w:id="1" w:name="ksea03077758k_t1energ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10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6,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1006"/>
            <w:bookmarkEnd w:id="6"/>
            <w:r>
              <w:rPr>
                <w:rFonts w:ascii="Times New Roman;Times;Serif" w:hAnsi="Times New Roman;Times;Serif"/>
                <w:b/>
                <w:sz w:val="20"/>
              </w:rPr>
              <w:t>001-41903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93-3205861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Austin, </w:t>
      </w:r>
      <w:bookmarkStart w:id="10" w:name="xdx_90E_edei--EntityAddressStateOrProvin"/>
      <w:bookmarkEnd w:id="10"/>
      <w:r>
        <w:rPr>
          <w:rFonts w:ascii="Times New Roman;Times;Serif" w:hAnsi="Times New Roman;Times;Serif"/>
          <w:b/>
          <w:i w:val="false"/>
          <w:caps w:val="false"/>
          <w:smallCaps w:val="false"/>
          <w:sz w:val="20"/>
        </w:rPr>
        <w:t xml:space="preserve">Texas </w:t>
      </w:r>
      <w:bookmarkStart w:id="11" w:name="xdx_903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1006__20"/>
      <w:bookmarkEnd w:id="12"/>
      <w:r>
        <w:rPr>
          <w:rFonts w:ascii="Times New Roman;Times;Serif" w:hAnsi="Times New Roman;Times;Serif"/>
          <w:b/>
          <w:i w:val="false"/>
          <w:caps w:val="false"/>
          <w:smallCaps w:val="false"/>
          <w:sz w:val="20"/>
        </w:rPr>
        <w:t>409-</w:t>
      </w:r>
      <w:bookmarkStart w:id="13" w:name="xdx_90C_edei--LocalPhoneNumber_c20261006"/>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6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C_edei--Security12bTitle_c20261006"/>
            <w:bookmarkEnd w:id="18"/>
            <w:r>
              <w:rPr>
                <w:rFonts w:ascii="Times New Roman;Times;Serif" w:hAnsi="Times New Roman;Times;Serif"/>
                <w:sz w:val="20"/>
              </w:rPr>
              <w:t>Common Stock, $0.01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1006__2"/>
            <w:bookmarkEnd w:id="19"/>
            <w:r>
              <w:rPr>
                <w:rFonts w:ascii="Times New Roman;Times;Serif" w:hAnsi="Times New Roman;Times;Serif"/>
                <w:sz w:val="20"/>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T1 Energy Inc. (the “Company”) filed with the Securities and Exchange Commission (the “SEC”) an automatic shelf registration statement on Form S-3ASR (File No. 333-292857) (the “Registration Statement”). On October 6, 2026, the Company filed a prospectus supplement pursuant to the Registration Statement covering the resale of shares of its common stock, par value $0.01 per share (the “common stock”), by Evervolt Green Energy Holding Pte, Ltd., a private company limited by shares organized under the laws of Singapore (the “Evervolt”). The shares of common stock registered for resale pursuant to the prospectus supplement consist of 7,246,377 shares of common stock (such shares of common stock, the “Securities”) that have been issued, or that are issuable subject to certain beneficial ownership limitations, to Evervolt as a portion of the consideration for the purchase by the Company of certain intellectual property and proprietary rights and related rights, and certain other assets, from Evervolt pursuant to an intellectual property purchase agreement, dated July 28, 2026, between the Company and Evervolt.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prospectus supplement is not itself a sale of securities by Evervolt and does not necessarily mean that Evervolt will choose to sell any shares of common stock. If any shares of common stock are sold by Evervolt, the Company would not receive any proceeds from that sale. No securities will be issued or sold by the Company pursuant to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current report to provide the legal opinion as to the validity of the shares of common stock covered by the prospectus supplement, which opinion is attached hereto as Exhibit 5.1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provided as part of this report: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95"/>
        <w:gridCol w:w="60"/>
        <w:gridCol w:w="654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pPr>
            <w:hyperlink w:anchor="ea030777501ex5-1.htm">
              <w:r>
                <w:rPr>
                  <w:rStyle w:val="InternetLink"/>
                  <w:rFonts w:ascii="Times New Roman;Times;Serif" w:hAnsi="Times New Roman;Times;Serif"/>
                  <w:sz w:val="20"/>
                </w:rPr>
                <w:t>Opinion of Skadden, Arps, Slate, Meagher &amp; Flom LLP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5" w:type="dxa"/>
            <w:tcBorders/>
            <w:shd w:fill="FFFFFF" w:val="clear"/>
            <w:tcMar>
              <w:bottom w:w="0" w:type="dxa"/>
            </w:tcMar>
            <w:vAlign w:val="center"/>
          </w:tcPr>
          <w:p>
            <w:pPr>
              <w:pStyle w:val="TableContents"/>
              <w:bidi w:val="0"/>
              <w:spacing w:before="0" w:after="283"/>
              <w:jc w:val="left"/>
              <w:rPr/>
            </w:pPr>
            <w:hyperlink w:anchor="ea030777501ex5-1.htm">
              <w:r>
                <w:rPr>
                  <w:rStyle w:val="InternetLink"/>
                  <w:rFonts w:ascii="Times New Roman;Times;Serif" w:hAnsi="Times New Roman;Times;Serif"/>
                  <w:sz w:val="20"/>
                </w:rPr>
                <w:t>Consent of Skadden, Arps, Slate, Meagher &amp; Flom LLP (included in Exhibit 5.1)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65"/>
        <w:gridCol w:w="635"/>
        <w:gridCol w:w="189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T1 Energy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b/>
        </w:rPr>
      </w:pPr>
      <w:bookmarkStart w:id="22" w:name="ea030777501ex5-1.htm"/>
      <w:bookmarkStart w:id="23" w:name="ksea030777501ex51"/>
      <w:bookmarkEnd w:id="22"/>
      <w:bookmarkEnd w:id="23"/>
      <w:r>
        <w:rPr>
          <w:b/>
        </w:rPr>
        <w:t>Exhibit 5.1</w:t>
      </w:r>
      <w:r>
        <w:br w:type="page"/>
      </w:r>
    </w:p>
    <w:p>
      <w:pPr>
        <w:pStyle w:val="TextBody"/>
        <w:bidi w:val="0"/>
        <w:spacing w:before="0" w:after="283"/>
        <w:jc w:val="left"/>
        <w:rPr/>
      </w:pPr>
      <w:r>
        <w:rPr/>
        <w:t> </w:t>
      </w:r>
    </w:p>
    <w:tbl>
      <w:tblPr>
        <w:tblW w:w="5575" w:type="dxa"/>
        <w:jc w:val="left"/>
        <w:tblInd w:w="0" w:type="dxa"/>
        <w:tblLayout w:type="fixed"/>
        <w:tblCellMar>
          <w:top w:w="0" w:type="dxa"/>
          <w:left w:w="0" w:type="dxa"/>
          <w:bottom w:w="0" w:type="dxa"/>
          <w:right w:w="0" w:type="dxa"/>
        </w:tblCellMar>
      </w:tblPr>
      <w:tblGrid>
        <w:gridCol w:w="4010"/>
        <w:gridCol w:w="1565"/>
      </w:tblGrid>
      <w:tr>
        <w:trPr/>
        <w:tc>
          <w:tcPr>
            <w:tcW w:w="4010" w:type="dxa"/>
            <w:tcBorders/>
            <w:vAlign w:val="center"/>
          </w:tcPr>
          <w:p>
            <w:pPr>
              <w:pStyle w:val="TableContents"/>
              <w:bidi w:val="0"/>
              <w:jc w:val="center"/>
              <w:rPr>
                <w:sz w:val="20"/>
              </w:rPr>
            </w:pPr>
            <w:r>
              <w:rPr>
                <w:smallCaps/>
                <w:sz w:val="20"/>
              </w:rPr>
              <w:t>Skadden, Arps, Slate, Meagher &amp; Flom Llp</w:t>
            </w:r>
            <w:r>
              <w:rPr>
                <w:sz w:val="20"/>
              </w:rPr>
              <w:br/>
              <w:t>845 TEXAS AVENUE, SUITE 2300</w:t>
              <w:br/>
              <w:t>HOUSTON, TEXAS 77002</w:t>
              <w:br/>
              <w:t>________</w:t>
              <w:br/>
              <w:br/>
              <w:t>TEL: (713) 655-5100</w:t>
              <w:br/>
              <w:t>FAX: (713) 655-5200</w:t>
              <w:br/>
              <w:t>www.skadden.com</w:t>
              <w:br/>
              <w:br/>
              <w:br/>
              <w:t>October 6, 2026</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left"/>
              <w:rPr>
                <w:sz w:val="20"/>
              </w:rPr>
            </w:pPr>
            <w:r>
              <w:rPr>
                <w:sz w:val="20"/>
              </w:rPr>
              <w:t>T1 Energy Inc.</w:t>
              <w:br/>
              <w:t>1211 E 4th St.</w:t>
              <w:br/>
              <w:t>Austin, Texas 78702</w:t>
              <w:br/>
              <w:t>409-599-5706</w:t>
            </w:r>
          </w:p>
        </w:tc>
        <w:tc>
          <w:tcPr>
            <w:tcW w:w="1565" w:type="dxa"/>
            <w:tcBorders/>
            <w:vAlign w:val="center"/>
          </w:tcPr>
          <w:p>
            <w:pPr>
              <w:pStyle w:val="TableContents"/>
              <w:bidi w:val="0"/>
              <w:spacing w:before="0" w:after="283"/>
              <w:jc w:val="center"/>
              <w:rPr>
                <w:sz w:val="20"/>
              </w:rPr>
            </w:pPr>
            <w:r>
              <w:rPr>
                <w:sz w:val="20"/>
              </w:rPr>
              <w:br/>
              <w:br/>
            </w:r>
            <w:r>
              <w:rPr>
                <w:sz w:val="16"/>
              </w:rPr>
              <w:t>FIRM/AFFILIATE</w:t>
              <w:br/>
              <w:t>OFFICES</w:t>
              <w:br/>
              <w:t>-----------</w:t>
              <w:br/>
              <w:t>BOSTON</w:t>
              <w:br/>
              <w:t>CHICAGO</w:t>
              <w:br/>
              <w:t>LOS ANGELES</w:t>
              <w:br/>
              <w:t>NEW YORK</w:t>
              <w:br/>
              <w:t>PALO ALTO</w:t>
              <w:br/>
              <w:t>WASHINGTON, D.C.</w:t>
              <w:br/>
              <w:t>WILMINGTON</w:t>
              <w:br/>
              <w:t>-----------</w:t>
              <w:br/>
              <w:t>ABU DHABI</w:t>
              <w:br/>
              <w:t>BEIJING</w:t>
              <w:br/>
              <w:t>BRUSSELS</w:t>
              <w:br/>
              <w:t>FRANKFURT</w:t>
              <w:br/>
              <w:t>HONG KONG</w:t>
              <w:br/>
              <w:t>LONDON</w:t>
              <w:br/>
              <w:t>MUNICH</w:t>
              <w:br/>
              <w:t>PARIS</w:t>
              <w:br/>
              <w:t>SÃO PAULO</w:t>
              <w:br/>
              <w:t>SEOUL</w:t>
              <w:br/>
              <w:t>SINGAPORE</w:t>
              <w:br/>
              <w:t>TOKYO</w:t>
              <w:br/>
              <w:t>TORONTO</w:t>
            </w:r>
          </w:p>
        </w:tc>
      </w:tr>
    </w:tbl>
    <w:p>
      <w:pPr>
        <w:pStyle w:val="TextBody"/>
        <w:bidi w:val="0"/>
        <w:spacing w:before="0" w:after="283"/>
        <w:jc w:val="left"/>
        <w:rPr/>
      </w:pPr>
      <w:r>
        <w:rPr/>
        <w:t> </w:t>
      </w:r>
    </w:p>
    <w:tbl>
      <w:tblPr>
        <w:tblW w:w="3310" w:type="dxa"/>
        <w:jc w:val="left"/>
        <w:tblInd w:w="0" w:type="dxa"/>
        <w:tblLayout w:type="fixed"/>
        <w:tblCellMar>
          <w:top w:w="0" w:type="dxa"/>
          <w:left w:w="0" w:type="dxa"/>
          <w:bottom w:w="0" w:type="dxa"/>
          <w:right w:w="0" w:type="dxa"/>
        </w:tblCellMar>
      </w:tblPr>
      <w:tblGrid>
        <w:gridCol w:w="75"/>
        <w:gridCol w:w="305"/>
        <w:gridCol w:w="29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Re:</w:t>
            </w:r>
          </w:p>
        </w:tc>
        <w:tc>
          <w:tcPr>
            <w:tcW w:w="2930" w:type="dxa"/>
            <w:tcBorders/>
            <w:vAlign w:val="center"/>
          </w:tcPr>
          <w:p>
            <w:pPr>
              <w:pStyle w:val="TableContents"/>
              <w:bidi w:val="0"/>
              <w:spacing w:before="0" w:after="283"/>
              <w:jc w:val="left"/>
              <w:rPr>
                <w:sz w:val="20"/>
              </w:rPr>
            </w:pPr>
            <w:r>
              <w:rPr>
                <w:sz w:val="20"/>
              </w:rPr>
              <w:t>T1 Energy Inc.</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sz w:val="20"/>
                <w:u w:val="single"/>
              </w:rPr>
            </w:pPr>
            <w:r>
              <w:rPr>
                <w:sz w:val="20"/>
                <w:u w:val="single"/>
              </w:rPr>
              <w:t>Registration Statement on Form S-3</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T1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resale by the selling securityholder identified on Schedule 1 hereto (the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of up to 7,246,377 shares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including (i) 5,000,000 shares of Common Stock (the “</w:t>
      </w:r>
      <w:r>
        <w:rPr>
          <w:rFonts w:ascii="Times New Roman;Times;Serif" w:hAnsi="Times New Roman;Times;Serif"/>
          <w:b w:val="false"/>
          <w:i w:val="false"/>
          <w:caps w:val="false"/>
          <w:smallCaps w:val="false"/>
          <w:sz w:val="20"/>
          <w:u w:val="single"/>
        </w:rPr>
        <w:t>Issued Shares</w:t>
      </w:r>
      <w:r>
        <w:rPr>
          <w:rFonts w:ascii="Times New Roman;Times;Serif" w:hAnsi="Times New Roman;Times;Serif"/>
          <w:b w:val="false"/>
          <w:i w:val="false"/>
          <w:caps w:val="false"/>
          <w:smallCaps w:val="false"/>
          <w:sz w:val="20"/>
        </w:rPr>
        <w:t>”) issued to Evervolt Green Energy Holding Pte, Ltd., a private company limited by shares organized under the laws of Singapore (“</w:t>
      </w:r>
      <w:r>
        <w:rPr>
          <w:rFonts w:ascii="Times New Roman;Times;Serif" w:hAnsi="Times New Roman;Times;Serif"/>
          <w:b w:val="false"/>
          <w:i w:val="false"/>
          <w:caps w:val="false"/>
          <w:smallCaps w:val="false"/>
          <w:sz w:val="20"/>
          <w:u w:val="single"/>
        </w:rPr>
        <w:t>Evervolt</w:t>
      </w:r>
      <w:r>
        <w:rPr>
          <w:rFonts w:ascii="Times New Roman;Times;Serif" w:hAnsi="Times New Roman;Times;Serif"/>
          <w:b w:val="false"/>
          <w:i w:val="false"/>
          <w:caps w:val="false"/>
          <w:smallCaps w:val="false"/>
          <w:sz w:val="20"/>
        </w:rPr>
        <w:t>”), as a portion of the consideration for the purchase by the Company of certain intellectual property and proprietary rights (collectively, the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from Evervolt pursuant to an intellectual property purchase agreement (the “</w:t>
      </w:r>
      <w:r>
        <w:rPr>
          <w:rFonts w:ascii="Times New Roman;Times;Serif" w:hAnsi="Times New Roman;Times;Serif"/>
          <w:b w:val="false"/>
          <w:i w:val="false"/>
          <w:caps w:val="false"/>
          <w:smallCaps w:val="false"/>
          <w:sz w:val="20"/>
          <w:u w:val="single"/>
        </w:rPr>
        <w:t>IP Purchase Agreement</w:t>
      </w:r>
      <w:r>
        <w:rPr>
          <w:rFonts w:ascii="Times New Roman;Times;Serif" w:hAnsi="Times New Roman;Times;Serif"/>
          <w:b w:val="false"/>
          <w:i w:val="false"/>
          <w:caps w:val="false"/>
          <w:smallCaps w:val="false"/>
          <w:sz w:val="20"/>
        </w:rPr>
        <w:t>”), dated July 28, 2026, between the Company and Evervolt, and (ii) 2,246,377 shares of Common Stock (the “</w:t>
      </w:r>
      <w:r>
        <w:rPr>
          <w:rFonts w:ascii="Times New Roman;Times;Serif" w:hAnsi="Times New Roman;Times;Serif"/>
          <w:b w:val="false"/>
          <w:i w:val="false"/>
          <w:caps w:val="false"/>
          <w:smallCaps w:val="false"/>
          <w:sz w:val="20"/>
          <w:u w:val="single"/>
        </w:rPr>
        <w:t>Abeyance Shares</w:t>
      </w:r>
      <w:r>
        <w:rPr>
          <w:rFonts w:ascii="Times New Roman;Times;Serif" w:hAnsi="Times New Roman;Times;Serif"/>
          <w:b w:val="false"/>
          <w:i w:val="false"/>
          <w:caps w:val="false"/>
          <w:smallCaps w:val="false"/>
          <w:sz w:val="20"/>
        </w:rPr>
        <w:t>” and, together with the Issued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to be issued to Evervolt as a further portion of the consideration for the purchase of the Purchased Assets pursuant to the IP Purchase Agreement. The Company entered into the IP Purchase Agreement following its exercise of a call option granted to it by Evervolt under a call option letter agreement, dated July 27, 2026, between the Company and the Evervolt (the “</w:t>
      </w:r>
      <w:r>
        <w:rPr>
          <w:rFonts w:ascii="Times New Roman;Times;Serif" w:hAnsi="Times New Roman;Times;Serif"/>
          <w:b w:val="false"/>
          <w:i w:val="false"/>
          <w:caps w:val="false"/>
          <w:smallCaps w:val="false"/>
          <w:sz w:val="20"/>
          <w:u w:val="single"/>
        </w:rPr>
        <w:t>Call Option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examined and relied upon the following: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S-3ASR (File No. 333-292857) of the Company relating to the Securities and other securities of the Company filed on January 21, 2026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including the information deemed to be a part of the registration statement pursuant to Rule 430B of the Rules and Regulations (such registration statement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br/>
        <w:t>October 6, 2026</w:t>
        <w:br/>
        <w:t>Page 2</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January 21,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dated October 6,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Securities in the form filed with the Commission pursuant to Rule 424(b) of the Rules and Regulations;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executed copy of the IP Purchase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the Call Option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copy of the Transaction Agreement, dated as of November 6, 2024, among T1 Energy Inc. (f/k/a FREYR Battery, Inc.) and Trina Solar (Schweiz) AG (the “</w:t>
      </w:r>
      <w:r>
        <w:rPr>
          <w:rFonts w:ascii="Times New Roman;Times;Serif" w:hAnsi="Times New Roman;Times;Serif"/>
          <w:b w:val="false"/>
          <w:i w:val="false"/>
          <w:caps w:val="false"/>
          <w:smallCaps w:val="false"/>
          <w:sz w:val="20"/>
          <w:u w:val="single"/>
        </w:rPr>
        <w:t>Trina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executed copy of the Amended and Restated Cooperation Agreement, dated as of December 29, 2025, by and between T1 Energy Inc. and Trina Solar (Schweiz) AG (the “</w:t>
      </w:r>
      <w:r>
        <w:rPr>
          <w:rFonts w:ascii="Times New Roman;Times;Serif" w:hAnsi="Times New Roman;Times;Serif"/>
          <w:b w:val="false"/>
          <w:i w:val="false"/>
          <w:caps w:val="false"/>
          <w:smallCaps w:val="false"/>
          <w:sz w:val="20"/>
          <w:u w:val="single"/>
        </w:rPr>
        <w:t>Cooperation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executed copy of the letter agreement, dated as of September 25, 2026, by and between the Company and Evervolt (the “</w:t>
      </w:r>
      <w:r>
        <w:rPr>
          <w:rFonts w:ascii="Times New Roman;Times;Serif" w:hAnsi="Times New Roman;Times;Serif"/>
          <w:b w:val="false"/>
          <w:i w:val="false"/>
          <w:caps w:val="false"/>
          <w:smallCaps w:val="false"/>
          <w:sz w:val="20"/>
          <w:u w:val="single"/>
        </w:rPr>
        <w:t>Beneficial Ownership Side Letter</w:t>
      </w:r>
      <w:r>
        <w:rPr>
          <w:rFonts w:ascii="Times New Roman;Times;Serif" w:hAnsi="Times New Roman;Times;Serif"/>
          <w:b w:val="false"/>
          <w:i w:val="false"/>
          <w:caps w:val="false"/>
          <w:smallCaps w:val="false"/>
          <w:sz w:val="20"/>
        </w:rPr>
        <w:t>”), pursuant to which the issuance of the Abeyance Shares has been deferred;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executed copy of a certificate of Harold Callo,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copies of (i) the Company’s Amended and Restated Certificate of Incorporation, certified pursuant to the Secretary’s Certificate as being in effect on December 28, 2025, and (ii) the Company’s Amended and Restated Certificate of Incorporation of the Company,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certified by the Secretary of State of the State of Delaware as of October 6, 2026 and certified pursuant to the Secretary’s Certificate as being in effect on July 20, 2026 and as of the date 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copies of the Company’s Third Amended and Restated Bylaws, certified pursuant to the Secretary’s Certificate as being in effect on the date of the resolutions referred to below and as of the date hereof;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copy of certain resolutions of the Board of Directors of the Company, adopted on December 28, 2025 and July 20, 2026, certified pursuant to the Secretary’s Certificate.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the Selling Securityholder and such agreements, certificates and receipts of public officials, certificates of officers or other representatives of the Company and the Selling Securityholder and others, and such other documents as we have deemed necessary or appropriate as a basis for the opinion stated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We have also assumed that the Company received the consideration for the Issued Shares set forth in the Transaction Agreements (as defined herein) and the applicable resolutions of the Board of Directors of the Company approving the issuance of all such Securities and the issuance of the Issued Shares has been registered in the Company’s share registry. As to any facts relevant to the opinion stated herein that we did not independently establish or verify, we have relied upon statements and representations of officers and other representatives of the Company and the Selling Securityholder and others and of public officials including the facts and conclusions set forth in the Secretary’s Certificate and the Certificate of Incorporation and the factual representations and warranties contained in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(i)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those documents listed in paragraphs (j) and (k) above and (ii)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means the IP Purchase Agreement, Call Option Agreement and the Beneficial Ownership Side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br/>
        <w:t>October 6, 2026</w:t>
        <w:br/>
        <w:t>Page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Issued Shares have been duly authorized by all requisite corporate action on the part of the Company under the DGCL and are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Abeyance Shares have been duly authorized by all requisite corporate action on the part of the Company under the DGCL and when issued and sold in accordance with the Transaction Agreements, will be validly issued, fully paid and nonassessable, provided that the consideration therefor is not less than $0.01 per Abeyance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opinions we have assumed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issuance of the Abeyance Shares does not and will not and the Company’s issuance of the Issued Shares did not (i) violate any statute to which the Company or such issuance is subject (except that we do not make this assumption with respect to the DGCL), or (ii) constitute a violation of, or a breach under, or require the consent or approval of any other person under, any agreement or instrument binding on the Company (except that we do not make this assumption with respect to the Organizational Documents, the Transaction Agreements or those agreements or instruments expressed to be governed by the laws of the State of New York which are listed in Part II of the Registration Statement or included as exhibits to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authorized capital stock is as set forth in the Certificate of Incorporation and we have relied solely on the certified copy thereof issued by the Secretary of State of the State of Delaware and have not made any other inquiries or investigations;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we call to your attention that the Trina Agreement, Cooperation Agreement and Transaction Agreements are expressed to be governed by laws other than those with respect to which we express our opinion (“</w:t>
      </w:r>
      <w:r>
        <w:rPr>
          <w:rFonts w:ascii="Times New Roman;Times;Serif" w:hAnsi="Times New Roman;Times;Serif"/>
          <w:b w:val="false"/>
          <w:i w:val="false"/>
          <w:caps w:val="false"/>
          <w:smallCaps w:val="false"/>
          <w:sz w:val="20"/>
          <w:u w:val="single"/>
        </w:rPr>
        <w:t>Non-Opined on Laws</w:t>
      </w:r>
      <w:r>
        <w:rPr>
          <w:rFonts w:ascii="Times New Roman;Times;Serif" w:hAnsi="Times New Roman;Times;Serif"/>
          <w:b w:val="false"/>
          <w:i w:val="false"/>
          <w:caps w:val="false"/>
          <w:smallCaps w:val="false"/>
          <w:sz w:val="20"/>
        </w:rPr>
        <w:t>”) and the opinions expressed herein are based solely upon our understanding of the language contained in such Trina Agreement, Cooperation Agreement and Transaction Agreements under the laws of the State of New York and we have not considered any substantive provisions of such Non-Opined on Laws that may be incorporated by reference therein or supplied by such laws. We do not assume any responsibility for any interpretation thereof inconsistent with such understanding and we have not consulted attorneys admitted in any other jurisdiction (including any jurisdiction where we or our affiliated firms have offices).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firstLine="144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sz w:val="20"/>
              </w:rPr>
            </w:pPr>
            <w:r>
              <w:rPr>
                <w:sz w:val="20"/>
              </w:rPr>
              <w:t>/s/ Skadden, Arps, Slate, Meagher &amp; Flom LLP</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br/>
        <w:t>October 6, 2026</w:t>
        <w:b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3335"/>
        <w:gridCol w:w="60"/>
        <w:gridCol w:w="4685"/>
      </w:tblGrid>
      <w:tr>
        <w:trPr/>
        <w:tc>
          <w:tcPr>
            <w:tcW w:w="3335" w:type="dxa"/>
            <w:tcBorders>
              <w:bottom w:val="single" w:sz="12" w:space="0" w:color="000000"/>
            </w:tcBorders>
            <w:vAlign w:val="center"/>
          </w:tcPr>
          <w:p>
            <w:pPr>
              <w:pStyle w:val="TableContents"/>
              <w:bidi w:val="0"/>
              <w:spacing w:before="0" w:after="283"/>
              <w:jc w:val="left"/>
              <w:rPr>
                <w:b/>
              </w:rPr>
            </w:pPr>
            <w:r>
              <w:rPr>
                <w:b/>
              </w:rPr>
              <w:t>Selling Securityholder</w:t>
            </w:r>
          </w:p>
        </w:tc>
        <w:tc>
          <w:tcPr>
            <w:tcW w:w="60" w:type="dxa"/>
            <w:tcBorders/>
            <w:tcMar>
              <w:bottom w:w="0" w:type="dxa"/>
            </w:tcMar>
            <w:vAlign w:val="center"/>
          </w:tcPr>
          <w:p>
            <w:pPr>
              <w:pStyle w:val="TableContents"/>
              <w:bidi w:val="0"/>
              <w:spacing w:before="0" w:after="283"/>
              <w:jc w:val="center"/>
              <w:rPr/>
            </w:pPr>
            <w:r>
              <w:rPr/>
              <w:t> </w:t>
            </w:r>
          </w:p>
        </w:tc>
        <w:tc>
          <w:tcPr>
            <w:tcW w:w="4685" w:type="dxa"/>
            <w:tcBorders>
              <w:bottom w:val="single" w:sz="12" w:space="0" w:color="000000"/>
            </w:tcBorders>
            <w:vAlign w:val="center"/>
          </w:tcPr>
          <w:p>
            <w:pPr>
              <w:pStyle w:val="TableContents"/>
              <w:bidi w:val="0"/>
              <w:spacing w:before="0" w:after="283"/>
              <w:jc w:val="left"/>
              <w:rPr>
                <w:b/>
              </w:rPr>
            </w:pPr>
            <w:r>
              <w:rPr>
                <w:b/>
              </w:rPr>
              <w:t>Maximum Number of Securities to be Offered</w:t>
            </w:r>
          </w:p>
        </w:tc>
      </w:tr>
      <w:tr>
        <w:trPr/>
        <w:tc>
          <w:tcPr>
            <w:tcW w:w="3335" w:type="dxa"/>
            <w:tcBorders/>
            <w:tcMar>
              <w:bottom w:w="0" w:type="dxa"/>
            </w:tcMar>
            <w:vAlign w:val="center"/>
          </w:tcPr>
          <w:p>
            <w:pPr>
              <w:pStyle w:val="TableContents"/>
              <w:bidi w:val="0"/>
              <w:spacing w:before="0" w:after="283"/>
              <w:jc w:val="left"/>
              <w:rPr>
                <w:sz w:val="20"/>
              </w:rPr>
            </w:pPr>
            <w:r>
              <w:rPr>
                <w:sz w:val="20"/>
              </w:rPr>
              <w:t>Evervolt Green Energy Holding Pte, Ltd.</w:t>
            </w:r>
          </w:p>
        </w:tc>
        <w:tc>
          <w:tcPr>
            <w:tcW w:w="60" w:type="dxa"/>
            <w:tcBorders/>
            <w:tcMar>
              <w:bottom w:w="0" w:type="dxa"/>
            </w:tcMar>
            <w:vAlign w:val="center"/>
          </w:tcPr>
          <w:p>
            <w:pPr>
              <w:pStyle w:val="TableContents"/>
              <w:bidi w:val="0"/>
              <w:spacing w:before="0" w:after="283"/>
              <w:jc w:val="left"/>
              <w:rPr/>
            </w:pPr>
            <w:r>
              <w:rPr/>
              <w:t> </w:t>
            </w:r>
          </w:p>
        </w:tc>
        <w:tc>
          <w:tcPr>
            <w:tcW w:w="4685" w:type="dxa"/>
            <w:tcBorders/>
            <w:tcMar>
              <w:bottom w:w="0" w:type="dxa"/>
            </w:tcMar>
            <w:vAlign w:val="center"/>
          </w:tcPr>
          <w:p>
            <w:pPr>
              <w:pStyle w:val="TableContents"/>
              <w:bidi w:val="0"/>
              <w:spacing w:before="0" w:after="283"/>
              <w:jc w:val="left"/>
              <w:rPr>
                <w:sz w:val="20"/>
              </w:rPr>
            </w:pPr>
            <w:r>
              <w:rPr>
                <w:sz w:val="20"/>
              </w:rPr>
              <w:t>7,246,377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2482</Words>
  <Characters>13212</Characters>
  <CharactersWithSpaces>15724</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