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4726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Calio Joseph Evan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1211 E 4TH ST.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T1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04/29/2026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1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4"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8"/>
            <w:vMerge w:val="restart"/>
          </w:tcPr>
          <w:p>
            <w:pPr>
              <w:jc w:val="center"/>
              <w:ind w:right="30"/>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6"/>
              </w:rPr>
              <w:t>AUSTIN</w:t>
            </w: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78702</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6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04/29/2026</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61"/>
              <w:spacing w:after="0"/>
              <w:rPr>
                <w:sz w:val="20"/>
                <w:szCs w:val="20"/>
                <w:color w:val="auto"/>
              </w:rPr>
            </w:pPr>
            <w:r>
              <w:rPr>
                <w:rFonts w:ascii="Times New Roman" w:cs="Times New Roman" w:eastAsia="Times New Roman" w:hAnsi="Times New Roman"/>
                <w:sz w:val="17"/>
                <w:szCs w:val="17"/>
                <w:color w:val="0000FF"/>
                <w:w w:val="97"/>
              </w:rPr>
              <w:t>161,290</w:t>
            </w:r>
            <w:r>
              <w:rPr>
                <w:rFonts w:ascii="Times New Roman" w:cs="Times New Roman" w:eastAsia="Times New Roman" w:hAnsi="Times New Roman"/>
                <w:sz w:val="21"/>
                <w:szCs w:val="21"/>
                <w:color w:val="008000"/>
                <w:w w:val="97"/>
                <w:vertAlign w:val="superscript"/>
              </w:rPr>
              <w:t>(1)</w:t>
            </w:r>
          </w:p>
        </w:tc>
        <w:tc>
          <w:tcPr>
            <w:tcW w:w="3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7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7"/>
                <w:szCs w:val="17"/>
                <w:color w:val="0000FF"/>
              </w:rPr>
              <w:t>1,645,627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04/29/2026</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101"/>
              <w:spacing w:after="0"/>
              <w:rPr>
                <w:sz w:val="20"/>
                <w:szCs w:val="20"/>
                <w:color w:val="auto"/>
              </w:rPr>
            </w:pPr>
            <w:r>
              <w:rPr>
                <w:rFonts w:ascii="Times New Roman" w:cs="Times New Roman" w:eastAsia="Times New Roman" w:hAnsi="Times New Roman"/>
                <w:sz w:val="17"/>
                <w:szCs w:val="17"/>
                <w:color w:val="0000FF"/>
              </w:rPr>
              <w:t>74,742</w:t>
            </w:r>
            <w:r>
              <w:rPr>
                <w:rFonts w:ascii="Times New Roman" w:cs="Times New Roman" w:eastAsia="Times New Roman" w:hAnsi="Times New Roman"/>
                <w:sz w:val="21"/>
                <w:szCs w:val="21"/>
                <w:color w:val="008000"/>
                <w:vertAlign w:val="superscript"/>
              </w:rPr>
              <w:t>(2)</w:t>
            </w:r>
          </w:p>
        </w:tc>
        <w:tc>
          <w:tcPr>
            <w:tcW w:w="3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4.89</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ind w:right="142"/>
              <w:spacing w:after="0"/>
              <w:rPr>
                <w:sz w:val="20"/>
                <w:szCs w:val="20"/>
                <w:color w:val="auto"/>
              </w:rPr>
            </w:pPr>
            <w:r>
              <w:rPr>
                <w:rFonts w:ascii="Times New Roman" w:cs="Times New Roman" w:eastAsia="Times New Roman" w:hAnsi="Times New Roman"/>
                <w:sz w:val="17"/>
                <w:szCs w:val="17"/>
                <w:color w:val="0000FF"/>
              </w:rPr>
              <w:t>1,570,885</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Shares of</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6"/>
                <w:szCs w:val="6"/>
                <w:color w:val="auto"/>
              </w:rPr>
            </w:pPr>
          </w:p>
        </w:tc>
        <w:tc>
          <w:tcPr>
            <w:tcW w:w="54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gridSpan w:val="2"/>
            <w:vMerge w:val="continue"/>
          </w:tcPr>
          <w:p>
            <w:pPr>
              <w:spacing w:after="0"/>
              <w:rPr>
                <w:sz w:val="6"/>
                <w:szCs w:val="6"/>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161,290</w:t>
            </w:r>
          </w:p>
        </w:tc>
        <w:tc>
          <w:tcPr>
            <w:tcW w:w="40" w:type="dxa"/>
            <w:vAlign w:val="bottom"/>
          </w:tcPr>
          <w:p>
            <w:pPr>
              <w:spacing w:after="0"/>
              <w:rPr>
                <w:sz w:val="6"/>
                <w:szCs w:val="6"/>
                <w:color w:val="auto"/>
              </w:rPr>
            </w:pP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gridSpan w:val="2"/>
            <w:vMerge w:val="restart"/>
          </w:tcPr>
          <w:p>
            <w:pPr>
              <w:ind w:left="140"/>
              <w:spacing w:after="0" w:line="231" w:lineRule="exact"/>
              <w:rPr>
                <w:sz w:val="20"/>
                <w:szCs w:val="20"/>
                <w:color w:val="auto"/>
              </w:rPr>
            </w:pPr>
            <w:r>
              <w:rPr>
                <w:rFonts w:ascii="Times New Roman" w:cs="Times New Roman" w:eastAsia="Times New Roman" w:hAnsi="Times New Roman"/>
                <w:sz w:val="13"/>
                <w:szCs w:val="13"/>
                <w:color w:val="0000FF"/>
              </w:rPr>
              <w:t>322,581</w:t>
            </w:r>
            <w:r>
              <w:rPr>
                <w:rFonts w:ascii="Times New Roman" w:cs="Times New Roman" w:eastAsia="Times New Roman" w:hAnsi="Times New Roman"/>
                <w:sz w:val="21"/>
                <w:szCs w:val="21"/>
                <w:color w:val="008000"/>
                <w:vertAlign w:val="superscript"/>
              </w:rPr>
              <w:t>(4)</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04/29/2026</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161,290</w:t>
            </w: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Units</w:t>
            </w:r>
          </w:p>
        </w:tc>
        <w:tc>
          <w:tcPr>
            <w:tcW w:w="7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(RSUs)</w:t>
            </w:r>
            <w:r>
              <w:rPr>
                <w:rFonts w:ascii="Times New Roman" w:cs="Times New Roman" w:eastAsia="Times New Roman" w:hAnsi="Times New Roman"/>
                <w:sz w:val="21"/>
                <w:szCs w:val="21"/>
                <w:color w:val="008000"/>
                <w:vertAlign w:val="superscript"/>
              </w:rPr>
              <w:t>(1)</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vMerge w:val="continue"/>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-1847850</wp:posOffset>
            </wp:positionV>
            <wp:extent cx="28575" cy="185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529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vesting on April 29, 2026 of 161,290 Restricted Stock Units ("RSUs") granted on April 29, 2025 under the Company's 2021 Equity Incentive Plan (as amended and restated on April 22, 2024) and reported on the Form 4 filed May 1, 2025. This relates to the vesting of the first of three equal annual installments (further details in Note 4 below). Each RSU represents the right to receive one share of Common Stock. These 161,290 RSUs were settled in shares of Common Stock on April 29, 2026.</w:t>
      </w:r>
    </w:p>
    <w:p>
      <w:pPr>
        <w:spacing w:after="0" w:line="26" w:lineRule="exact"/>
        <w:rPr>
          <w:rFonts w:ascii="Times New Roman" w:cs="Times New Roman" w:eastAsia="Times New Roman" w:hAnsi="Times New Roman"/>
          <w:sz w:val="13"/>
          <w:szCs w:val="13"/>
          <w:color w:val="008000"/>
        </w:rPr>
      </w:pPr>
    </w:p>
    <w:p>
      <w:pPr>
        <w:ind w:left="40" w:right="4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74,742 shares of Common Stock withheld for tax obligations in connection with the settlement on April 29, 2026 of 161,290 RSUs that vested on April 29, 2026 (the first of three equal annual installments). The vesting of those 161,290 RSUs is described in Note 1 above.</w:t>
      </w:r>
    </w:p>
    <w:p>
      <w:pPr>
        <w:spacing w:after="0" w:line="19" w:lineRule="exact"/>
        <w:rPr>
          <w:rFonts w:ascii="Times New Roman" w:cs="Times New Roman" w:eastAsia="Times New Roman" w:hAnsi="Times New Roman"/>
          <w:sz w:val="13"/>
          <w:szCs w:val="13"/>
          <w:color w:val="008000"/>
        </w:rPr>
      </w:pPr>
    </w:p>
    <w:p>
      <w:pPr>
        <w:ind w:left="40" w:right="3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1,570,885 shares of Common Stock beneficially owned following the reported transactions reflects: (i) 1,484,337 shares reported on the Form 4 filed April 2, 2026; plus (ii) 161,290 shares acquired upon vesting of RSUs on April 29, 2026 (Note 1 above); less (iii) 74,742 shares withheld for tax upon settlement of RSUs on April 29, 2026 (Note 2 above).</w:t>
      </w:r>
    </w:p>
    <w:p>
      <w:pPr>
        <w:spacing w:after="0" w:line="19"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reported on the Form 4 filed May 1, 2025 were granted for a total of 483,871 RSUs vesting in three equal annual installments: one-third vested on April 29, 2026; one-third will vest on April 29, 2027; and the remaining one-third will vest on April 29, 2028. Following the vesting and settlement of the first installment reported herein, 322,581 RSUs remain outstanding.</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Harold Callo Sanchez,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04/30/2026</w:t>
            </w:r>
          </w:p>
        </w:tc>
        <w:tc>
          <w:tcPr>
            <w:tcW w:w="0" w:type="dxa"/>
            <w:vAlign w:val="bottom"/>
          </w:tcPr>
          <w:p>
            <w:pPr>
              <w:spacing w:after="0"/>
              <w:rPr>
                <w:sz w:val="1"/>
                <w:szCs w:val="1"/>
                <w:color w:val="auto"/>
              </w:rPr>
            </w:pPr>
          </w:p>
        </w:tc>
      </w:tr>
      <w:tr>
        <w:trPr>
          <w:trHeight w:val="87"/>
        </w:trPr>
        <w:tc>
          <w:tcPr>
            <w:tcW w:w="112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Attorney-in-Fact</w:t>
            </w:r>
          </w:p>
        </w:tc>
        <w:tc>
          <w:tcPr>
            <w:tcW w:w="740" w:type="dxa"/>
            <w:vAlign w:val="bottom"/>
            <w:tcBorders>
              <w:top w:val="single" w:sz="8" w:color="auto"/>
              <w:bottom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20" w:type="dxa"/>
            <w:vAlign w:val="bottom"/>
            <w:tcBorders>
              <w:bottom w:val="single" w:sz="8" w:color="auto"/>
            </w:tcBorders>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7475" TargetMode="External"/><Relationship Id="rId14" Type="http://schemas.openxmlformats.org/officeDocument/2006/relationships/hyperlink" Target="http://www.sec.gov/cgi-bin/browse-edgar?action=getcompany&amp;CIK=00019922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2026-04-30T17:48:24Z</dcterms:created>
  <dcterms:modified xsi:type="dcterms:W3CDTF">2026-04-30T17:48:24Z</dcterms:modified>
</cp:coreProperties>
</file>