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4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4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2026</w:t>
            </w:r>
          </w:p>
        </w:tc>
        <w:tc>
          <w:tcPr>
            <w:tcW w:w="284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284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001-41903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93-3205861</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1211 E 4th St.</w:t>
            </w:r>
          </w:p>
        </w:tc>
        <w:tc>
          <w:tcPr>
            <w:tcW w:w="284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Austin, Texas 78702</w:t>
            </w:r>
          </w:p>
        </w:tc>
        <w:tc>
          <w:tcPr>
            <w:tcW w:w="284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409-599-5706</w:t>
            </w:r>
          </w:p>
        </w:tc>
        <w:tc>
          <w:tcPr>
            <w:tcW w:w="284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3"/>
                <w:szCs w:val="23"/>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21, 2026, T1 Energy Inc. (the “Company”) filed with the Securities and Exchange Commission an automatic shelf registration statement on Form S-3ASR (File No. 333-292857) (the “Registration Statement”). On October 30, 2026, the Company filed a prospectus supplement (the “Resale Prospectus Supplement”) pursuant to the Registration Statement covering the resale of shares of its common stock, par value $0.01 per share (the “common stock”), issuable upon conversion of the additional $50.0 million aggregate principal amount of the Company’s 4.75% Convertible Senior Notes due 2031 (the “Convertible Notes”) that were issued to the selling stockholder named in the Resale Prospectus Supplement the (the “Selling Stockholder”) on September 30, 2026 under the indenture, dated as of July 31, 2026, between the Company and U.S. Bank Trust Company, National Association, as trustee. The shares of common stock registered for resale pursuant to the Resale Prospectus Supplement consist of 13,440,860 shares of common stock that may be issued to the Selling Stockholder upon the conversion of such Convertible Notes, assuming physical settlement will apply to all such conversions and including the maximum number of make-whole shares that may be issued pursuant to the terms of the Convertible Notes as described in the Resale Prospectus Supplement.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filing of the Resale Prospectus Supplement is not itself a sale of securities by the Selling Stockholder and does not necessarily mean that the Convertible Notes held by the Selling Stockholder will be converted into shares of common stock or that the Selling Stockholder will choose to sell any shares of common stock. If any shares of common stock are sold by the Selling Stockholder, the Company would not receive any proceeds from that sale. No securities will be issued or sold by the Company pursuant to the Resale Prospectus Supplement.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filing this current report to provide the legal opinion as to the validity of the shares of common stock covered by the Resale Prospectus Supplement, which opinion is attached hereto as Exhibit 5.1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provided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58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Skadden, Arps, Slate, Meagher &amp; Flom LLP (included in Exhibit 5.1)</w:t>
            </w:r>
          </w:p>
        </w:tc>
        <w:tc>
          <w:tcPr>
            <w:tcW w:w="4240" w:type="dxa"/>
            <w:vAlign w:val="bottom"/>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Joseph Evan Calio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29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c>
          <w:tcPr>
            <w:tcW w:w="0" w:type="dxa"/>
            <w:vAlign w:val="bottom"/>
          </w:tcPr>
          <w:p>
            <w:pPr>
              <w:spacing w:after="0"/>
              <w:rPr>
                <w:sz w:val="1"/>
                <w:szCs w:val="1"/>
                <w:color w:val="auto"/>
              </w:rPr>
            </w:pPr>
          </w:p>
        </w:tc>
      </w:tr>
      <w:tr>
        <w:trPr>
          <w:trHeight w:val="414"/>
        </w:trPr>
        <w:tc>
          <w:tcPr>
            <w:tcW w:w="8160" w:type="dxa"/>
            <w:vAlign w:val="bottom"/>
          </w:tcPr>
          <w:p>
            <w:pPr>
              <w:jc w:val="center"/>
              <w:ind w:left="2658"/>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lp</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60" w:type="dxa"/>
            <w:vAlign w:val="bottom"/>
          </w:tcPr>
          <w:p>
            <w:pPr>
              <w:jc w:val="center"/>
              <w:ind w:left="2658"/>
              <w:spacing w:after="0"/>
              <w:rPr>
                <w:sz w:val="20"/>
                <w:szCs w:val="20"/>
                <w:color w:val="auto"/>
              </w:rPr>
            </w:pPr>
            <w:r>
              <w:rPr>
                <w:rFonts w:ascii="Times New Roman" w:cs="Times New Roman" w:eastAsia="Times New Roman" w:hAnsi="Times New Roman"/>
                <w:sz w:val="18"/>
                <w:szCs w:val="18"/>
                <w:color w:val="auto"/>
                <w:w w:val="99"/>
              </w:rPr>
              <w:t>845 TEXAS AVENUE, SUITE 2300</w:t>
            </w:r>
          </w:p>
        </w:tc>
        <w:tc>
          <w:tcPr>
            <w:tcW w:w="2900" w:type="dxa"/>
            <w:vAlign w:val="bottom"/>
            <w:vMerge w:val="restart"/>
          </w:tcPr>
          <w:p>
            <w:pPr>
              <w:jc w:val="center"/>
              <w:ind w:left="589"/>
              <w:spacing w:after="0"/>
              <w:rPr>
                <w:sz w:val="20"/>
                <w:szCs w:val="20"/>
                <w:color w:val="auto"/>
              </w:rPr>
            </w:pPr>
            <w:r>
              <w:rPr>
                <w:rFonts w:ascii="Times New Roman" w:cs="Times New Roman" w:eastAsia="Times New Roman" w:hAnsi="Times New Roman"/>
                <w:sz w:val="14"/>
                <w:szCs w:val="14"/>
                <w:color w:val="auto"/>
              </w:rPr>
              <w:t>FIRM/AFFILIATE</w:t>
            </w:r>
          </w:p>
        </w:tc>
        <w:tc>
          <w:tcPr>
            <w:tcW w:w="0" w:type="dxa"/>
            <w:vAlign w:val="bottom"/>
          </w:tcPr>
          <w:p>
            <w:pPr>
              <w:spacing w:after="0"/>
              <w:rPr>
                <w:sz w:val="1"/>
                <w:szCs w:val="1"/>
                <w:color w:val="auto"/>
              </w:rPr>
            </w:pPr>
          </w:p>
        </w:tc>
      </w:tr>
      <w:tr>
        <w:trPr>
          <w:trHeight w:val="180"/>
        </w:trPr>
        <w:tc>
          <w:tcPr>
            <w:tcW w:w="8160" w:type="dxa"/>
            <w:vAlign w:val="bottom"/>
          </w:tcPr>
          <w:p>
            <w:pPr>
              <w:jc w:val="center"/>
              <w:ind w:left="2658"/>
              <w:spacing w:after="0" w:line="181" w:lineRule="exact"/>
              <w:rPr>
                <w:sz w:val="20"/>
                <w:szCs w:val="20"/>
                <w:color w:val="auto"/>
              </w:rPr>
            </w:pPr>
            <w:r>
              <w:rPr>
                <w:rFonts w:ascii="Times New Roman" w:cs="Times New Roman" w:eastAsia="Times New Roman" w:hAnsi="Times New Roman"/>
                <w:sz w:val="18"/>
                <w:szCs w:val="18"/>
                <w:color w:val="auto"/>
                <w:w w:val="99"/>
              </w:rPr>
              <w:t>HOUSTON, TEXAS 77002</w:t>
            </w: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8160" w:type="dxa"/>
            <w:vAlign w:val="bottom"/>
            <w:vMerge w:val="restart"/>
          </w:tcPr>
          <w:p>
            <w:pPr>
              <w:jc w:val="center"/>
              <w:ind w:left="2678"/>
              <w:spacing w:after="0"/>
              <w:rPr>
                <w:sz w:val="20"/>
                <w:szCs w:val="20"/>
                <w:color w:val="auto"/>
              </w:rPr>
            </w:pPr>
            <w:r>
              <w:rPr>
                <w:rFonts w:ascii="Times New Roman" w:cs="Times New Roman" w:eastAsia="Times New Roman" w:hAnsi="Times New Roman"/>
                <w:sz w:val="18"/>
                <w:szCs w:val="18"/>
                <w:color w:val="auto"/>
                <w:w w:val="99"/>
              </w:rPr>
              <w:t>________</w:t>
            </w:r>
          </w:p>
        </w:tc>
        <w:tc>
          <w:tcPr>
            <w:tcW w:w="2900" w:type="dxa"/>
            <w:vAlign w:val="bottom"/>
          </w:tcPr>
          <w:p>
            <w:pPr>
              <w:jc w:val="center"/>
              <w:ind w:left="589"/>
              <w:spacing w:after="0" w:line="113" w:lineRule="exact"/>
              <w:rPr>
                <w:sz w:val="20"/>
                <w:szCs w:val="20"/>
                <w:color w:val="auto"/>
              </w:rPr>
            </w:pPr>
            <w:r>
              <w:rPr>
                <w:rFonts w:ascii="Times New Roman" w:cs="Times New Roman" w:eastAsia="Times New Roman" w:hAnsi="Times New Roman"/>
                <w:sz w:val="13"/>
                <w:szCs w:val="13"/>
                <w:color w:val="auto"/>
              </w:rPr>
              <w:t>OFFICES</w:t>
            </w:r>
          </w:p>
        </w:tc>
        <w:tc>
          <w:tcPr>
            <w:tcW w:w="0" w:type="dxa"/>
            <w:vAlign w:val="bottom"/>
          </w:tcPr>
          <w:p>
            <w:pPr>
              <w:spacing w:after="0"/>
              <w:rPr>
                <w:sz w:val="1"/>
                <w:szCs w:val="1"/>
                <w:color w:val="auto"/>
              </w:rPr>
            </w:pPr>
          </w:p>
        </w:tc>
      </w:tr>
      <w:tr>
        <w:trPr>
          <w:trHeight w:val="149"/>
        </w:trPr>
        <w:tc>
          <w:tcPr>
            <w:tcW w:w="8160" w:type="dxa"/>
            <w:vAlign w:val="bottom"/>
            <w:vMerge w:val="continue"/>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w w:val="99"/>
              </w:rPr>
              <w:t>BOSTON</w:t>
            </w:r>
          </w:p>
        </w:tc>
        <w:tc>
          <w:tcPr>
            <w:tcW w:w="0" w:type="dxa"/>
            <w:vAlign w:val="bottom"/>
          </w:tcPr>
          <w:p>
            <w:pPr>
              <w:spacing w:after="0"/>
              <w:rPr>
                <w:sz w:val="1"/>
                <w:szCs w:val="1"/>
                <w:color w:val="auto"/>
              </w:rPr>
            </w:pPr>
          </w:p>
        </w:tc>
      </w:tr>
      <w:tr>
        <w:trPr>
          <w:trHeight w:val="148"/>
        </w:trPr>
        <w:tc>
          <w:tcPr>
            <w:tcW w:w="8160" w:type="dxa"/>
            <w:vAlign w:val="bottom"/>
            <w:vMerge w:val="restart"/>
          </w:tcPr>
          <w:p>
            <w:pPr>
              <w:jc w:val="center"/>
              <w:ind w:left="2658"/>
              <w:spacing w:after="0"/>
              <w:rPr>
                <w:sz w:val="20"/>
                <w:szCs w:val="20"/>
                <w:color w:val="auto"/>
              </w:rPr>
            </w:pPr>
            <w:r>
              <w:rPr>
                <w:rFonts w:ascii="Times New Roman" w:cs="Times New Roman" w:eastAsia="Times New Roman" w:hAnsi="Times New Roman"/>
                <w:sz w:val="18"/>
                <w:szCs w:val="18"/>
                <w:color w:val="auto"/>
                <w:w w:val="99"/>
              </w:rPr>
              <w:t>TEL: (713) 655-5100</w:t>
            </w: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CHICAGO</w:t>
            </w:r>
          </w:p>
        </w:tc>
        <w:tc>
          <w:tcPr>
            <w:tcW w:w="0" w:type="dxa"/>
            <w:vAlign w:val="bottom"/>
          </w:tcPr>
          <w:p>
            <w:pPr>
              <w:spacing w:after="0"/>
              <w:rPr>
                <w:sz w:val="1"/>
                <w:szCs w:val="1"/>
                <w:color w:val="auto"/>
              </w:rPr>
            </w:pPr>
          </w:p>
        </w:tc>
      </w:tr>
      <w:tr>
        <w:trPr>
          <w:trHeight w:val="144"/>
        </w:trPr>
        <w:tc>
          <w:tcPr>
            <w:tcW w:w="8160" w:type="dxa"/>
            <w:vAlign w:val="bottom"/>
            <w:vMerge w:val="continue"/>
          </w:tcPr>
          <w:p>
            <w:pPr>
              <w:spacing w:after="0"/>
              <w:rPr>
                <w:sz w:val="12"/>
                <w:szCs w:val="12"/>
                <w:color w:val="auto"/>
              </w:rPr>
            </w:pPr>
          </w:p>
        </w:tc>
        <w:tc>
          <w:tcPr>
            <w:tcW w:w="2900" w:type="dxa"/>
            <w:vAlign w:val="bottom"/>
          </w:tcPr>
          <w:p>
            <w:pPr>
              <w:jc w:val="center"/>
              <w:ind w:left="589"/>
              <w:spacing w:after="0" w:line="145" w:lineRule="exact"/>
              <w:rPr>
                <w:sz w:val="20"/>
                <w:szCs w:val="20"/>
                <w:color w:val="auto"/>
              </w:rPr>
            </w:pPr>
            <w:r>
              <w:rPr>
                <w:rFonts w:ascii="Times New Roman" w:cs="Times New Roman" w:eastAsia="Times New Roman" w:hAnsi="Times New Roman"/>
                <w:sz w:val="14"/>
                <w:szCs w:val="14"/>
                <w:color w:val="auto"/>
              </w:rPr>
              <w:t>LOS ANGELES</w:t>
            </w:r>
          </w:p>
        </w:tc>
        <w:tc>
          <w:tcPr>
            <w:tcW w:w="0" w:type="dxa"/>
            <w:vAlign w:val="bottom"/>
          </w:tcPr>
          <w:p>
            <w:pPr>
              <w:spacing w:after="0"/>
              <w:rPr>
                <w:sz w:val="1"/>
                <w:szCs w:val="1"/>
                <w:color w:val="auto"/>
              </w:rPr>
            </w:pPr>
          </w:p>
        </w:tc>
      </w:tr>
      <w:tr>
        <w:trPr>
          <w:trHeight w:val="162"/>
        </w:trPr>
        <w:tc>
          <w:tcPr>
            <w:tcW w:w="8160" w:type="dxa"/>
            <w:vAlign w:val="bottom"/>
          </w:tcPr>
          <w:p>
            <w:pPr>
              <w:jc w:val="center"/>
              <w:ind w:left="2658"/>
              <w:spacing w:after="0" w:line="162" w:lineRule="exact"/>
              <w:rPr>
                <w:sz w:val="20"/>
                <w:szCs w:val="20"/>
                <w:color w:val="auto"/>
              </w:rPr>
            </w:pPr>
            <w:r>
              <w:rPr>
                <w:rFonts w:ascii="Times New Roman" w:cs="Times New Roman" w:eastAsia="Times New Roman" w:hAnsi="Times New Roman"/>
                <w:sz w:val="18"/>
                <w:szCs w:val="18"/>
                <w:color w:val="auto"/>
                <w:w w:val="99"/>
              </w:rPr>
              <w:t>FAX: (713) 655-5200</w:t>
            </w:r>
          </w:p>
        </w:tc>
        <w:tc>
          <w:tcPr>
            <w:tcW w:w="29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NEW YORK</w:t>
            </w:r>
          </w:p>
        </w:tc>
        <w:tc>
          <w:tcPr>
            <w:tcW w:w="0" w:type="dxa"/>
            <w:vAlign w:val="bottom"/>
          </w:tcPr>
          <w:p>
            <w:pPr>
              <w:spacing w:after="0"/>
              <w:rPr>
                <w:sz w:val="1"/>
                <w:szCs w:val="1"/>
                <w:color w:val="auto"/>
              </w:rPr>
            </w:pPr>
          </w:p>
        </w:tc>
      </w:tr>
      <w:tr>
        <w:trPr>
          <w:trHeight w:val="216"/>
        </w:trPr>
        <w:tc>
          <w:tcPr>
            <w:tcW w:w="8160" w:type="dxa"/>
            <w:vAlign w:val="bottom"/>
          </w:tcPr>
          <w:p>
            <w:pPr>
              <w:jc w:val="center"/>
              <w:ind w:left="2658"/>
              <w:spacing w:after="0"/>
              <w:rPr>
                <w:sz w:val="20"/>
                <w:szCs w:val="20"/>
                <w:color w:val="auto"/>
              </w:rPr>
            </w:pPr>
            <w:r>
              <w:rPr>
                <w:rFonts w:ascii="Times New Roman" w:cs="Times New Roman" w:eastAsia="Times New Roman" w:hAnsi="Times New Roman"/>
                <w:sz w:val="18"/>
                <w:szCs w:val="18"/>
                <w:color w:val="auto"/>
                <w:w w:val="99"/>
              </w:rPr>
              <w:t>www.skadden.com</w:t>
            </w:r>
          </w:p>
        </w:tc>
        <w:tc>
          <w:tcPr>
            <w:tcW w:w="29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w w:val="98"/>
              </w:rPr>
              <w:t>PALO ALTO</w:t>
            </w:r>
          </w:p>
        </w:tc>
        <w:tc>
          <w:tcPr>
            <w:tcW w:w="0" w:type="dxa"/>
            <w:vAlign w:val="bottom"/>
          </w:tcPr>
          <w:p>
            <w:pPr>
              <w:spacing w:after="0"/>
              <w:rPr>
                <w:sz w:val="1"/>
                <w:szCs w:val="1"/>
                <w:color w:val="auto"/>
              </w:rPr>
            </w:pPr>
          </w:p>
        </w:tc>
      </w:tr>
      <w:tr>
        <w:trPr>
          <w:trHeight w:val="72"/>
        </w:trPr>
        <w:tc>
          <w:tcPr>
            <w:tcW w:w="8160" w:type="dxa"/>
            <w:vAlign w:val="bottom"/>
            <w:vMerge w:val="restart"/>
          </w:tcPr>
          <w:p>
            <w:pPr>
              <w:jc w:val="center"/>
              <w:ind w:right="6178"/>
              <w:spacing w:after="0"/>
              <w:rPr>
                <w:sz w:val="20"/>
                <w:szCs w:val="20"/>
                <w:color w:val="auto"/>
              </w:rPr>
            </w:pPr>
            <w:r>
              <w:rPr>
                <w:rFonts w:ascii="Times New Roman" w:cs="Times New Roman" w:eastAsia="Times New Roman" w:hAnsi="Times New Roman"/>
                <w:sz w:val="14"/>
                <w:szCs w:val="14"/>
                <w:color w:val="auto"/>
              </w:rPr>
              <w:t>DIRECT DIAL</w:t>
            </w:r>
          </w:p>
        </w:tc>
        <w:tc>
          <w:tcPr>
            <w:tcW w:w="2900" w:type="dxa"/>
            <w:vAlign w:val="bottom"/>
          </w:tcPr>
          <w:p>
            <w:pPr>
              <w:jc w:val="center"/>
              <w:ind w:left="569"/>
              <w:spacing w:after="0" w:line="72" w:lineRule="exact"/>
              <w:rPr>
                <w:sz w:val="20"/>
                <w:szCs w:val="20"/>
                <w:color w:val="auto"/>
              </w:rPr>
            </w:pPr>
            <w:r>
              <w:rPr>
                <w:rFonts w:ascii="Times New Roman" w:cs="Times New Roman" w:eastAsia="Times New Roman" w:hAnsi="Times New Roman"/>
                <w:sz w:val="8"/>
                <w:szCs w:val="8"/>
                <w:color w:val="auto"/>
              </w:rPr>
              <w:t>WASHINGTON, D.C.</w:t>
            </w:r>
          </w:p>
        </w:tc>
        <w:tc>
          <w:tcPr>
            <w:tcW w:w="0" w:type="dxa"/>
            <w:vAlign w:val="bottom"/>
          </w:tcPr>
          <w:p>
            <w:pPr>
              <w:spacing w:after="0"/>
              <w:rPr>
                <w:sz w:val="1"/>
                <w:szCs w:val="1"/>
                <w:color w:val="auto"/>
              </w:rPr>
            </w:pPr>
          </w:p>
        </w:tc>
      </w:tr>
      <w:tr>
        <w:trPr>
          <w:trHeight w:val="94"/>
        </w:trPr>
        <w:tc>
          <w:tcPr>
            <w:tcW w:w="8160" w:type="dxa"/>
            <w:vAlign w:val="bottom"/>
            <w:vMerge w:val="continue"/>
          </w:tcPr>
          <w:p>
            <w:pPr>
              <w:spacing w:after="0"/>
              <w:rPr>
                <w:sz w:val="8"/>
                <w:szCs w:val="8"/>
                <w:color w:val="auto"/>
              </w:rPr>
            </w:pPr>
          </w:p>
        </w:tc>
        <w:tc>
          <w:tcPr>
            <w:tcW w:w="2900" w:type="dxa"/>
            <w:vAlign w:val="bottom"/>
            <w:vMerge w:val="restart"/>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WILMINGTON</w:t>
            </w:r>
          </w:p>
        </w:tc>
        <w:tc>
          <w:tcPr>
            <w:tcW w:w="0" w:type="dxa"/>
            <w:vAlign w:val="bottom"/>
          </w:tcPr>
          <w:p>
            <w:pPr>
              <w:spacing w:after="0"/>
              <w:rPr>
                <w:sz w:val="1"/>
                <w:szCs w:val="1"/>
                <w:color w:val="auto"/>
              </w:rPr>
            </w:pPr>
          </w:p>
        </w:tc>
      </w:tr>
      <w:tr>
        <w:trPr>
          <w:trHeight w:val="54"/>
        </w:trPr>
        <w:tc>
          <w:tcPr>
            <w:tcW w:w="8160" w:type="dxa"/>
            <w:vAlign w:val="bottom"/>
            <w:vMerge w:val="restart"/>
          </w:tcPr>
          <w:p>
            <w:pPr>
              <w:jc w:val="center"/>
              <w:ind w:right="6178"/>
              <w:spacing w:after="0" w:line="149" w:lineRule="exact"/>
              <w:rPr>
                <w:sz w:val="20"/>
                <w:szCs w:val="20"/>
                <w:color w:val="auto"/>
              </w:rPr>
            </w:pPr>
            <w:r>
              <w:rPr>
                <w:rFonts w:ascii="Times New Roman" w:cs="Times New Roman" w:eastAsia="Times New Roman" w:hAnsi="Times New Roman"/>
                <w:sz w:val="14"/>
                <w:szCs w:val="14"/>
                <w:color w:val="auto"/>
              </w:rPr>
              <w:t>(212) 735-3352</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160" w:type="dxa"/>
            <w:vAlign w:val="bottom"/>
            <w:vMerge w:val="continue"/>
          </w:tcPr>
          <w:p>
            <w:pPr>
              <w:spacing w:after="0"/>
              <w:rPr>
                <w:sz w:val="8"/>
                <w:szCs w:val="8"/>
                <w:color w:val="auto"/>
              </w:rPr>
            </w:pPr>
          </w:p>
        </w:tc>
        <w:tc>
          <w:tcPr>
            <w:tcW w:w="2900" w:type="dxa"/>
            <w:vAlign w:val="bottom"/>
            <w:vMerge w:val="restart"/>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8160" w:type="dxa"/>
            <w:vAlign w:val="bottom"/>
            <w:vMerge w:val="restart"/>
          </w:tcPr>
          <w:p>
            <w:pPr>
              <w:jc w:val="center"/>
              <w:ind w:right="6178"/>
              <w:spacing w:after="0" w:line="149" w:lineRule="exact"/>
              <w:rPr>
                <w:sz w:val="20"/>
                <w:szCs w:val="20"/>
                <w:color w:val="auto"/>
              </w:rPr>
            </w:pPr>
            <w:r>
              <w:rPr>
                <w:rFonts w:ascii="Times New Roman" w:cs="Times New Roman" w:eastAsia="Times New Roman" w:hAnsi="Times New Roman"/>
                <w:sz w:val="14"/>
                <w:szCs w:val="14"/>
                <w:color w:val="auto"/>
                <w:w w:val="99"/>
              </w:rPr>
              <w:t>DIRECT FAX</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160" w:type="dxa"/>
            <w:vAlign w:val="bottom"/>
            <w:vMerge w:val="continue"/>
          </w:tcPr>
          <w:p>
            <w:pPr>
              <w:spacing w:after="0"/>
              <w:rPr>
                <w:sz w:val="8"/>
                <w:szCs w:val="8"/>
                <w:color w:val="auto"/>
              </w:rPr>
            </w:pPr>
          </w:p>
        </w:tc>
        <w:tc>
          <w:tcPr>
            <w:tcW w:w="2900" w:type="dxa"/>
            <w:vAlign w:val="bottom"/>
            <w:vMerge w:val="restart"/>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ABU DHABI</w:t>
            </w:r>
          </w:p>
        </w:tc>
        <w:tc>
          <w:tcPr>
            <w:tcW w:w="0" w:type="dxa"/>
            <w:vAlign w:val="bottom"/>
          </w:tcPr>
          <w:p>
            <w:pPr>
              <w:spacing w:after="0"/>
              <w:rPr>
                <w:sz w:val="1"/>
                <w:szCs w:val="1"/>
                <w:color w:val="auto"/>
              </w:rPr>
            </w:pPr>
          </w:p>
        </w:tc>
      </w:tr>
      <w:tr>
        <w:trPr>
          <w:trHeight w:val="54"/>
        </w:trPr>
        <w:tc>
          <w:tcPr>
            <w:tcW w:w="8160" w:type="dxa"/>
            <w:vAlign w:val="bottom"/>
            <w:vMerge w:val="restart"/>
          </w:tcPr>
          <w:p>
            <w:pPr>
              <w:jc w:val="center"/>
              <w:ind w:right="6178"/>
              <w:spacing w:after="0" w:line="149" w:lineRule="exact"/>
              <w:rPr>
                <w:sz w:val="20"/>
                <w:szCs w:val="20"/>
                <w:color w:val="auto"/>
              </w:rPr>
            </w:pPr>
            <w:r>
              <w:rPr>
                <w:rFonts w:ascii="Times New Roman" w:cs="Times New Roman" w:eastAsia="Times New Roman" w:hAnsi="Times New Roman"/>
                <w:sz w:val="14"/>
                <w:szCs w:val="14"/>
                <w:color w:val="auto"/>
              </w:rPr>
              <w:t>(212) 735-2000</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8160" w:type="dxa"/>
            <w:vAlign w:val="bottom"/>
            <w:vMerge w:val="continue"/>
          </w:tcPr>
          <w:p>
            <w:pPr>
              <w:spacing w:after="0"/>
              <w:rPr>
                <w:sz w:val="8"/>
                <w:szCs w:val="8"/>
                <w:color w:val="auto"/>
              </w:rPr>
            </w:pPr>
          </w:p>
        </w:tc>
        <w:tc>
          <w:tcPr>
            <w:tcW w:w="2900" w:type="dxa"/>
            <w:vAlign w:val="bottom"/>
            <w:vMerge w:val="restart"/>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BEIJING</w:t>
            </w:r>
          </w:p>
        </w:tc>
        <w:tc>
          <w:tcPr>
            <w:tcW w:w="0" w:type="dxa"/>
            <w:vAlign w:val="bottom"/>
          </w:tcPr>
          <w:p>
            <w:pPr>
              <w:spacing w:after="0"/>
              <w:rPr>
                <w:sz w:val="1"/>
                <w:szCs w:val="1"/>
                <w:color w:val="auto"/>
              </w:rPr>
            </w:pPr>
          </w:p>
        </w:tc>
      </w:tr>
      <w:tr>
        <w:trPr>
          <w:trHeight w:val="54"/>
        </w:trPr>
        <w:tc>
          <w:tcPr>
            <w:tcW w:w="8160" w:type="dxa"/>
            <w:vAlign w:val="bottom"/>
            <w:vMerge w:val="restart"/>
          </w:tcPr>
          <w:p>
            <w:pPr>
              <w:jc w:val="center"/>
              <w:ind w:right="6178"/>
              <w:spacing w:after="0" w:line="149" w:lineRule="exact"/>
              <w:rPr>
                <w:sz w:val="20"/>
                <w:szCs w:val="20"/>
                <w:color w:val="auto"/>
              </w:rPr>
            </w:pPr>
            <w:r>
              <w:rPr>
                <w:rFonts w:ascii="Times New Roman" w:cs="Times New Roman" w:eastAsia="Times New Roman" w:hAnsi="Times New Roman"/>
                <w:sz w:val="14"/>
                <w:szCs w:val="14"/>
                <w:color w:val="auto"/>
              </w:rPr>
              <w:t>EMAIL ADDRESS</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8160" w:type="dxa"/>
            <w:vAlign w:val="bottom"/>
            <w:vMerge w:val="continue"/>
          </w:tcPr>
          <w:p>
            <w:pPr>
              <w:spacing w:after="0"/>
              <w:rPr>
                <w:sz w:val="8"/>
                <w:szCs w:val="8"/>
                <w:color w:val="auto"/>
              </w:rPr>
            </w:pPr>
          </w:p>
        </w:tc>
        <w:tc>
          <w:tcPr>
            <w:tcW w:w="2900" w:type="dxa"/>
            <w:vAlign w:val="bottom"/>
            <w:vMerge w:val="restart"/>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BRUSSELS</w:t>
            </w:r>
          </w:p>
        </w:tc>
        <w:tc>
          <w:tcPr>
            <w:tcW w:w="0" w:type="dxa"/>
            <w:vAlign w:val="bottom"/>
          </w:tcPr>
          <w:p>
            <w:pPr>
              <w:spacing w:after="0"/>
              <w:rPr>
                <w:sz w:val="1"/>
                <w:szCs w:val="1"/>
                <w:color w:val="auto"/>
              </w:rPr>
            </w:pPr>
          </w:p>
        </w:tc>
      </w:tr>
      <w:tr>
        <w:trPr>
          <w:trHeight w:val="54"/>
        </w:trPr>
        <w:tc>
          <w:tcPr>
            <w:tcW w:w="8160" w:type="dxa"/>
            <w:vAlign w:val="bottom"/>
            <w:vMerge w:val="restart"/>
          </w:tcPr>
          <w:p>
            <w:pPr>
              <w:jc w:val="center"/>
              <w:ind w:right="6158"/>
              <w:spacing w:after="0"/>
              <w:rPr>
                <w:sz w:val="20"/>
                <w:szCs w:val="20"/>
                <w:color w:val="auto"/>
              </w:rPr>
            </w:pPr>
            <w:r>
              <w:rPr>
                <w:rFonts w:ascii="Times New Roman" w:cs="Times New Roman" w:eastAsia="Times New Roman" w:hAnsi="Times New Roman"/>
                <w:sz w:val="14"/>
                <w:szCs w:val="14"/>
                <w:color w:val="auto"/>
              </w:rPr>
              <w:t>TRANSFER@SKADDEN.COM</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160" w:type="dxa"/>
            <w:vAlign w:val="bottom"/>
            <w:vMerge w:val="continue"/>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FRANKFURT</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LONDON</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49"/>
        </w:trPr>
        <w:tc>
          <w:tcPr>
            <w:tcW w:w="8160" w:type="dxa"/>
            <w:vAlign w:val="bottom"/>
            <w:vMerge w:val="restart"/>
          </w:tcPr>
          <w:p>
            <w:pPr>
              <w:jc w:val="center"/>
              <w:ind w:left="2658"/>
              <w:spacing w:after="0"/>
              <w:rPr>
                <w:sz w:val="20"/>
                <w:szCs w:val="20"/>
                <w:color w:val="auto"/>
              </w:rPr>
            </w:pPr>
            <w:r>
              <w:rPr>
                <w:rFonts w:ascii="Times New Roman" w:cs="Times New Roman" w:eastAsia="Times New Roman" w:hAnsi="Times New Roman"/>
                <w:sz w:val="18"/>
                <w:szCs w:val="18"/>
                <w:color w:val="auto"/>
              </w:rPr>
              <w:t>October 30, 2026</w:t>
            </w: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71"/>
        </w:trPr>
        <w:tc>
          <w:tcPr>
            <w:tcW w:w="8160" w:type="dxa"/>
            <w:vAlign w:val="bottom"/>
            <w:vMerge w:val="continue"/>
          </w:tcPr>
          <w:p>
            <w:pPr>
              <w:spacing w:after="0"/>
              <w:rPr>
                <w:sz w:val="14"/>
                <w:szCs w:val="14"/>
                <w:color w:val="auto"/>
              </w:rPr>
            </w:pPr>
          </w:p>
        </w:tc>
        <w:tc>
          <w:tcPr>
            <w:tcW w:w="29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SÃO PAULO</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10"/>
                <w:szCs w:val="10"/>
                <w:color w:val="auto"/>
              </w:rPr>
            </w:pPr>
          </w:p>
        </w:tc>
        <w:tc>
          <w:tcPr>
            <w:tcW w:w="2900" w:type="dxa"/>
            <w:vAlign w:val="bottom"/>
          </w:tcPr>
          <w:p>
            <w:pPr>
              <w:jc w:val="center"/>
              <w:ind w:left="589"/>
              <w:spacing w:after="0" w:line="126" w:lineRule="exact"/>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2900" w:type="dxa"/>
            <w:vAlign w:val="bottom"/>
          </w:tcPr>
          <w:p>
            <w:pPr>
              <w:jc w:val="center"/>
              <w:ind w:left="589"/>
              <w:spacing w:after="0" w:line="149" w:lineRule="exact"/>
              <w:rPr>
                <w:sz w:val="20"/>
                <w:szCs w:val="20"/>
                <w:color w:val="auto"/>
              </w:rPr>
            </w:pPr>
            <w:r>
              <w:rPr>
                <w:rFonts w:ascii="Times New Roman" w:cs="Times New Roman" w:eastAsia="Times New Roman" w:hAnsi="Times New Roman"/>
                <w:sz w:val="14"/>
                <w:szCs w:val="14"/>
                <w:color w:val="auto"/>
              </w:rPr>
              <w:t>TOKYO</w:t>
            </w:r>
          </w:p>
        </w:tc>
        <w:tc>
          <w:tcPr>
            <w:tcW w:w="0" w:type="dxa"/>
            <w:vAlign w:val="bottom"/>
          </w:tcPr>
          <w:p>
            <w:pPr>
              <w:spacing w:after="0"/>
              <w:rPr>
                <w:sz w:val="1"/>
                <w:szCs w:val="1"/>
                <w:color w:val="auto"/>
              </w:rPr>
            </w:pPr>
          </w:p>
        </w:tc>
      </w:tr>
      <w:tr>
        <w:trPr>
          <w:trHeight w:val="188"/>
        </w:trPr>
        <w:tc>
          <w:tcPr>
            <w:tcW w:w="8160" w:type="dxa"/>
            <w:vAlign w:val="bottom"/>
          </w:tcPr>
          <w:p>
            <w:pPr>
              <w:spacing w:after="0"/>
              <w:rPr>
                <w:sz w:val="16"/>
                <w:szCs w:val="16"/>
                <w:color w:val="auto"/>
              </w:rPr>
            </w:pPr>
          </w:p>
        </w:tc>
        <w:tc>
          <w:tcPr>
            <w:tcW w:w="29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TORONTO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1211 E 4th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78702</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T1 Energy Inc.</w:t>
            </w:r>
          </w:p>
        </w:tc>
      </w:tr>
      <w:tr>
        <w:trPr>
          <w:trHeight w:val="194"/>
        </w:trPr>
        <w:tc>
          <w:tcPr>
            <w:tcW w:w="640" w:type="dxa"/>
            <w:vAlign w:val="bottom"/>
          </w:tcPr>
          <w:p>
            <w:pPr>
              <w:spacing w:after="0"/>
              <w:rPr>
                <w:sz w:val="16"/>
                <w:szCs w:val="16"/>
                <w:color w:val="auto"/>
              </w:rPr>
            </w:pPr>
          </w:p>
        </w:tc>
        <w:tc>
          <w:tcPr>
            <w:tcW w:w="2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have acted as special United States counsel to T1 Energy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resale by the selling stockholder identified on Schedule A hereto (the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of up to 13,440,860 shares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of the Company’s common stock, par value $0.01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upon conversion of the additional $50,000,000 aggregate principal amount of the Company’s 4.75% Convertible Senior Notes due 2031 (the “</w:t>
      </w:r>
      <w:r>
        <w:rPr>
          <w:rFonts w:ascii="Times New Roman" w:cs="Times New Roman" w:eastAsia="Times New Roman" w:hAnsi="Times New Roman"/>
          <w:sz w:val="17"/>
          <w:szCs w:val="17"/>
          <w:u w:val="single" w:color="auto"/>
          <w:color w:val="auto"/>
        </w:rPr>
        <w:t>Convertible Notes</w:t>
      </w:r>
      <w:r>
        <w:rPr>
          <w:rFonts w:ascii="Times New Roman" w:cs="Times New Roman" w:eastAsia="Times New Roman" w:hAnsi="Times New Roman"/>
          <w:sz w:val="17"/>
          <w:szCs w:val="17"/>
          <w:color w:val="auto"/>
        </w:rPr>
        <w:t>”), issued under the Indenture, dated as of July 31, 2026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between the Company and U.S. Bank Trust Company, National Association, as trustee (in such capacity,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to the Selling Stockholder pursuant to the Note Purchase Agreement, dated as of September 28, 2026, between the Company and the Selling Stockholder (the “</w:t>
      </w:r>
      <w:r>
        <w:rPr>
          <w:rFonts w:ascii="Times New Roman" w:cs="Times New Roman" w:eastAsia="Times New Roman" w:hAnsi="Times New Roman"/>
          <w:sz w:val="17"/>
          <w:szCs w:val="17"/>
          <w:u w:val="single" w:color="auto"/>
          <w:color w:val="auto"/>
        </w:rPr>
        <w:t>Note Purchase Agreement</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5" w:lineRule="exact"/>
        <w:rPr>
          <w:sz w:val="20"/>
          <w:szCs w:val="20"/>
          <w:color w:val="auto"/>
        </w:rPr>
      </w:pPr>
    </w:p>
    <w:p>
      <w:pPr>
        <w:jc w:val="both"/>
        <w:ind w:firstLine="1304"/>
        <w:spacing w:after="0" w:line="258" w:lineRule="auto"/>
        <w:tabs>
          <w:tab w:leader="none" w:pos="15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S-3ASR (File No. 333-292857) of the Company relating to the Securities and other securities of the Company filed on January 21, 2026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allowing for delayed offerings pursuant to Rule 415 of the General Rules and Regulations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including the information deemed to be a part of the registration statement pursuant to Rule 430B of the Rules and Regulations (such registration statement being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January 21, 2026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which forms a part of and is included in the Registration Statement;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October 30, 2026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relating to the resale of the Securities,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Note Purchase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Transaction Agreement, dated as of November 6, 2024, among T1 Energy Inc. (f/k/a FREYR Battery, Inc.) and Trina Solar (Schweiz) AG (the “</w:t>
      </w:r>
      <w:r>
        <w:rPr>
          <w:rFonts w:ascii="Times New Roman" w:cs="Times New Roman" w:eastAsia="Times New Roman" w:hAnsi="Times New Roman"/>
          <w:sz w:val="18"/>
          <w:szCs w:val="18"/>
          <w:u w:val="single" w:color="auto"/>
          <w:color w:val="auto"/>
        </w:rPr>
        <w:t>Trina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Amended and Restated Cooperation Agreement, dated as of December 29, 2025, by and between T1 Energy Inc. and Trina Solar (Schweiz) AG (the “</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Harold Callo,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 the Company’s Amended and Restated Certificate of Incorporation of the Company, certified pursuant to the Secretary’s Certificate as being in effect on December 28, 2025, and (ii) the Amended and Restated Certificate of Incorporation of the Company,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certified by the Secretary of State of the State of Delaware as of October 29, 2026 and certified pursuant to the Secretary’s Certificate as being in effect on the date of the resolutions referred to below and as of the date hereof;</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Third Amended and Restated Bylaws, certified pursuant to the Secretary’s Certificate as being in effect on the date of the resolutions referred to below and as of the date hereof;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certain resolutions of the Board of Directors of the Company, adopted on December 28, 2025, July 26, 2026, July 28, 2026 and September 28, 2026 and certain resolutions of the Financing Transaction Committee of the Board of Directors of the Company, adopted on July 29, 2026, in each case certified pursuant to the 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the Selling Stockholder and such agreements, certificates and receipts of public officials, certificates of officers or other representatives of the Company and the Selling Stockholder and others, and such other documents as we have deemed necessary or appropriate as a basis for the opinion stated below.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the Selling Stockholder and others and of public officials, including the facts and conclusions set forth in the Secretary’s Certificate and the Certificate of Incorporation and the factual representations and warranties contained in the Note Purchase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Note Purchase Agreement and the Indenture and (b)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those documents listed in clause (ii) of paragraph (i) and paragraph (j)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Securities have been duly authorized by all requisite corporate action on the part of the Company under the DGCL and, when issued upon conversion of the Convertible Notes in accordance with the terms of the Indenture, will be validly issued, fully paid and nonassessable.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rendering the foregoing opinion we have assumed that:</w:t>
      </w:r>
    </w:p>
    <w:p>
      <w:pPr>
        <w:spacing w:after="0" w:line="225" w:lineRule="exact"/>
        <w:rPr>
          <w:sz w:val="20"/>
          <w:szCs w:val="20"/>
          <w:color w:val="auto"/>
        </w:rPr>
      </w:pPr>
    </w:p>
    <w:p>
      <w:pPr>
        <w:jc w:val="both"/>
        <w:ind w:firstLine="1304"/>
        <w:spacing w:after="0" w:line="254" w:lineRule="auto"/>
        <w:tabs>
          <w:tab w:leader="none" w:pos="15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issuance of the Securities does not and will not (i) violate any statute to which the Company or such issuance is subject (except that we do not make this assumption with respect to the DGCL), or (ii) constitute a violation of, or a breach under, or require the consent or approval of any other person under, any agreement or instrument binding on the Company (except that we do not make this assumption with respect to the Organizational Documents, the Transaction Documents or those agreements or instruments expressed to be governed by the laws of the State of New York which are listed in Part II of the Registration Statement or included as exhibits to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firstLine="1304"/>
        <w:spacing w:after="0" w:line="282" w:lineRule="auto"/>
        <w:tabs>
          <w:tab w:leader="none" w:pos="15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capital stock is as set forth in the Certificate of Incorporation, and we have relied solely on the certified copy thereof issued by the Secretary of State of the State of Delaware and have not made any other inquiries or investigations;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the Trina Agreement and Cooperation Agreement are expressed to be governed by laws other than those with respect to which we express our opinion (“</w:t>
      </w:r>
      <w:r>
        <w:rPr>
          <w:rFonts w:ascii="Times New Roman" w:cs="Times New Roman" w:eastAsia="Times New Roman" w:hAnsi="Times New Roman"/>
          <w:sz w:val="18"/>
          <w:szCs w:val="18"/>
          <w:u w:val="single" w:color="auto"/>
          <w:color w:val="auto"/>
        </w:rPr>
        <w:t>Non-Opined on Laws</w:t>
      </w:r>
      <w:r>
        <w:rPr>
          <w:rFonts w:ascii="Times New Roman" w:cs="Times New Roman" w:eastAsia="Times New Roman" w:hAnsi="Times New Roman"/>
          <w:sz w:val="18"/>
          <w:szCs w:val="18"/>
          <w:color w:val="auto"/>
        </w:rPr>
        <w:t>”) and the opinion expressed herein is based solely upon our understanding of the language contained in such Trina Agreement and Cooperation Agreement under the laws of the State of New York and we have not considered any substantive provisions of such Non-Opined on Laws that may be incorporated by reference therein or supplied by such laws. We do not assume any responsibility for any interpretation thereof inconsistent with such understanding and we have not consulted attorneys admitted in any other jurisdiction (including any jurisdiction where we or our affiliated firms have offices); and</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opinion set forth above, we have assumed that the Conversion Price (as defined in the Indenture) will be at least equal to the par value of the Securities at the time of conversion.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 transactions of this type.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2026-10-30T16:16:24Z</dcterms:created>
  <dcterms:modified xsi:type="dcterms:W3CDTF">2026-10-30T16:16:24Z</dcterms:modified>
</cp:coreProperties>
</file>