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3886-8k_t1energy.htm"/>
      <w:bookmarkStart w:id="1" w:name="ksea02938868k_t1energy"/>
      <w:bookmarkEnd w:id="0"/>
      <w:bookmarkEnd w:id="1"/>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60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June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602"/>
            <w:bookmarkEnd w:id="6"/>
            <w:r>
              <w:rPr>
                <w:rFonts w:ascii="Times New Roman;Times;Serif" w:hAnsi="Times New Roman;Times;Serif"/>
                <w:b/>
                <w:i w:val="false"/>
                <w:caps w:val="false"/>
                <w:smallCaps w:val="false"/>
                <w:sz w:val="20"/>
              </w:rPr>
              <w:t>001-41903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93-3205861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1211 E 4th St.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Austin, </w:t>
      </w:r>
      <w:bookmarkStart w:id="10" w:name="xdx_909_edei--EntityAddressStateOrProvin"/>
      <w:bookmarkEnd w:id="10"/>
      <w:r>
        <w:rPr>
          <w:rFonts w:ascii="Times New Roman;Times;Serif" w:hAnsi="Times New Roman;Times;Serif"/>
          <w:b/>
          <w:i w:val="false"/>
          <w:caps w:val="false"/>
          <w:smallCaps w:val="false"/>
          <w:sz w:val="20"/>
        </w:rPr>
        <w:t xml:space="preserve">Texas </w:t>
      </w:r>
      <w:bookmarkStart w:id="11" w:name="xdx_90B_edei--EntityAddressPostalZipCode"/>
      <w:bookmarkEnd w:id="11"/>
      <w:r>
        <w:rPr>
          <w:rFonts w:ascii="Times New Roman;Times;Serif" w:hAnsi="Times New Roman;Times;Serif"/>
          <w:b/>
          <w:i w:val="false"/>
          <w:caps w:val="false"/>
          <w:smallCaps w:val="false"/>
          <w:sz w:val="20"/>
        </w:rPr>
        <w:t>78702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8_edei--CityAreaCode_c20260602__20"/>
      <w:bookmarkEnd w:id="12"/>
      <w:r>
        <w:rPr>
          <w:rFonts w:ascii="Times New Roman;Times;Serif" w:hAnsi="Times New Roman;Times;Serif"/>
          <w:b/>
          <w:i w:val="false"/>
          <w:caps w:val="false"/>
          <w:smallCaps w:val="false"/>
          <w:sz w:val="20"/>
        </w:rPr>
        <w:t>409-</w:t>
      </w:r>
      <w:bookmarkStart w:id="13" w:name="xdx_904_edei--LocalPhoneNumber_c20260602"/>
      <w:bookmarkEnd w:id="13"/>
      <w:r>
        <w:rPr>
          <w:rFonts w:ascii="Times New Roman;Times;Serif" w:hAnsi="Times New Roman;Times;Serif"/>
          <w:b/>
          <w:i w:val="false"/>
          <w:caps w:val="false"/>
          <w:smallCaps w:val="false"/>
          <w:sz w:val="20"/>
        </w:rPr>
        <w:t>599-5706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4" w:name="xdx_906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5" w:name="xdx_907_edei--SolicitingMaterial_c202606"/>
            <w:bookmarkEnd w:id="15"/>
            <w:r>
              <w:rPr>
                <w:caps w:val="false"/>
                <w:smallCaps w:val="false"/>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00"/>
        <w:gridCol w:w="60"/>
        <w:gridCol w:w="1315"/>
        <w:gridCol w:w="60"/>
        <w:gridCol w:w="2770"/>
      </w:tblGrid>
      <w:tr>
        <w:trPr/>
        <w:tc>
          <w:tcPr>
            <w:tcW w:w="60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0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0602"/>
            <w:bookmarkEnd w:id="18"/>
            <w:r>
              <w:rPr>
                <w:rFonts w:ascii="Times New Roman;Times;Serif" w:hAnsi="Times New Roman;Times;Serif"/>
                <w:b w:val="false"/>
                <w:i w:val="false"/>
                <w:caps w:val="false"/>
                <w:smallCaps w:val="false"/>
                <w:sz w:val="20"/>
              </w:rPr>
              <w:t>Common Stock, $0.01 par value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0602__2"/>
            <w:bookmarkEnd w:id="19"/>
            <w:r>
              <w:rPr>
                <w:rFonts w:ascii="Times New Roman;Times;Serif" w:hAnsi="Times New Roman;Times;Serif"/>
                <w:b w:val="false"/>
                <w:i w:val="false"/>
                <w:caps w:val="false"/>
                <w:smallCaps w:val="false"/>
                <w:sz w:val="20"/>
              </w:rPr>
              <w:t>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SecurityExchangeName_c2026"/>
            <w:bookmarkEnd w:id="20"/>
            <w:r>
              <w:rPr>
                <w:rFonts w:ascii="Times New Roman;Times;Serif" w:hAnsi="Times New Roman;Times;Serif"/>
                <w:b w:val="false"/>
                <w:i w:val="false"/>
                <w:caps w:val="false"/>
                <w:smallCaps w:val="false"/>
                <w:sz w:val="20"/>
              </w:rPr>
              <w:t>The New York Stock Exchange</w:t>
            </w:r>
          </w:p>
        </w:tc>
      </w:tr>
      <w:tr>
        <w:trPr/>
        <w:tc>
          <w:tcPr>
            <w:tcW w:w="60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12bTitle_c20260602"/>
            <w:bookmarkEnd w:id="21"/>
            <w:r>
              <w:rPr>
                <w:rFonts w:ascii="Times New Roman;Times;Serif" w:hAnsi="Times New Roman;Times;Serif"/>
                <w:b w:val="false"/>
                <w:i w:val="false"/>
                <w:caps w:val="false"/>
                <w:smallCaps w:val="false"/>
                <w:sz w:val="20"/>
              </w:rPr>
              <w:t>Warrants, each whole warrant exercisable for one Common Stock at an exercise price for $11.50 per share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60602__2"/>
            <w:bookmarkEnd w:id="22"/>
            <w:r>
              <w:rPr>
                <w:rFonts w:ascii="Times New Roman;Times;Serif" w:hAnsi="Times New Roman;Times;Serif"/>
                <w:b w:val="false"/>
                <w:i w:val="false"/>
                <w:caps w:val="false"/>
                <w:smallCaps w:val="false"/>
                <w:sz w:val="20"/>
              </w:rPr>
              <w:t>TE WS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SecurityExchangeName_c2026"/>
            <w:bookmarkEnd w:id="23"/>
            <w:r>
              <w:rPr>
                <w:rFonts w:ascii="Times New Roman;Times;Serif" w:hAnsi="Times New Roman;Times;Serif"/>
                <w:b w:val="false"/>
                <w:i w:val="false"/>
                <w:caps w:val="false"/>
                <w:smallCaps w:val="false"/>
                <w:sz w:val="20"/>
              </w:rPr>
              <w:t>The New York Stock Exchange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June 2, 2026, T1 Energy Inc. (the “Company”) entered into a definitive agreement to acquire KORE Power, Inc., an established engineering-focused BESS (Battery Energy Storage Systems) and software solutions provider (“KORE”). The purchase enterprise value for the transaction consists of approximately $32 million of equity, cash, and assumption of debt at anticipated closing in the second quarter of 2026, including approximately $9.6 million of closing consideration to be paid in common stock of the Company (subject to certain purchase price adjustments). The transaction also includes a total potential $9.6 million earn-out for fiscal years 2026 and 2027 payable in common stock of the Company, subject to certain performance metrics, plus a potential $5.5 million paid in common stock if a certain receivable has been paid to KORE by the payment date for the 2026 earn-out amount (regardless of if the 2026 earn-out is payable). The closing of the transaction is subject to customary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issued in connection with the closing consideration and any earn-out will be determined based on the volume-weighted average price of the common stock during a 10-trading day observation period commencing prior to the date of issuance of the closing consideration or such earn-out, as applicable. The shares of common stock will be issued in reliance upon the exemption from registration under Section 4(a)(2) of the Securities Act of 1933,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2880" w:type="dxa"/>
        <w:jc w:val="left"/>
        <w:tblInd w:w="0" w:type="dxa"/>
        <w:tblLayout w:type="fixed"/>
        <w:tblCellMar>
          <w:top w:w="0" w:type="dxa"/>
          <w:left w:w="0" w:type="dxa"/>
          <w:bottom w:w="0" w:type="dxa"/>
          <w:right w:w="0" w:type="dxa"/>
        </w:tblCellMar>
      </w:tblPr>
      <w:tblGrid>
        <w:gridCol w:w="75"/>
        <w:gridCol w:w="365"/>
        <w:gridCol w:w="545"/>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0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T1 Energy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Calio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Calio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621</Words>
  <Characters>3336</Characters>
  <CharactersWithSpaces>3962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