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2960" w:type="dxa"/>
            <w:vAlign w:val="bottom"/>
          </w:tcPr>
          <w:p>
            <w:pPr>
              <w:spacing w:after="0"/>
              <w:rPr>
                <w:sz w:val="18"/>
                <w:szCs w:val="18"/>
                <w:color w:val="auto"/>
              </w:rPr>
            </w:pPr>
          </w:p>
        </w:tc>
      </w:tr>
      <w:tr>
        <w:trPr>
          <w:trHeight w:val="382"/>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2960" w:type="dxa"/>
            <w:vAlign w:val="bottom"/>
          </w:tcPr>
          <w:p>
            <w:pPr>
              <w:spacing w:after="0"/>
              <w:rPr>
                <w:sz w:val="24"/>
                <w:szCs w:val="24"/>
                <w:color w:val="auto"/>
              </w:rPr>
            </w:pPr>
          </w:p>
        </w:tc>
      </w:tr>
      <w:tr>
        <w:trPr>
          <w:trHeight w:val="364"/>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 OF THE</w:t>
            </w:r>
          </w:p>
        </w:tc>
        <w:tc>
          <w:tcPr>
            <w:tcW w:w="2960" w:type="dxa"/>
            <w:vAlign w:val="bottom"/>
          </w:tcPr>
          <w:p>
            <w:pPr>
              <w:spacing w:after="0"/>
              <w:rPr>
                <w:sz w:val="24"/>
                <w:szCs w:val="24"/>
                <w:color w:val="auto"/>
              </w:rPr>
            </w:pPr>
          </w:p>
        </w:tc>
      </w:tr>
      <w:tr>
        <w:trPr>
          <w:trHeight w:val="210"/>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SECURITIES EXCHANGE ACT OF 1934</w:t>
            </w:r>
          </w:p>
        </w:tc>
        <w:tc>
          <w:tcPr>
            <w:tcW w:w="2960" w:type="dxa"/>
            <w:vAlign w:val="bottom"/>
          </w:tcPr>
          <w:p>
            <w:pPr>
              <w:spacing w:after="0"/>
              <w:rPr>
                <w:sz w:val="18"/>
                <w:szCs w:val="18"/>
                <w:color w:val="auto"/>
              </w:rPr>
            </w:pPr>
          </w:p>
        </w:tc>
      </w:tr>
      <w:tr>
        <w:trPr>
          <w:trHeight w:val="382"/>
        </w:trPr>
        <w:tc>
          <w:tcPr>
            <w:tcW w:w="3060" w:type="dxa"/>
            <w:vAlign w:val="bottom"/>
          </w:tcPr>
          <w:p>
            <w:pPr>
              <w:spacing w:after="0"/>
              <w:rPr>
                <w:sz w:val="24"/>
                <w:szCs w:val="24"/>
                <w:color w:val="auto"/>
              </w:rPr>
            </w:pPr>
          </w:p>
        </w:tc>
        <w:tc>
          <w:tcPr>
            <w:tcW w:w="5240" w:type="dxa"/>
            <w:vAlign w:val="bottom"/>
            <w:gridSpan w:val="5"/>
          </w:tcPr>
          <w:p>
            <w:pPr>
              <w:ind w:left="540"/>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May 12, 2026</w:t>
            </w:r>
          </w:p>
        </w:tc>
        <w:tc>
          <w:tcPr>
            <w:tcW w:w="2960" w:type="dxa"/>
            <w:vAlign w:val="bottom"/>
          </w:tcPr>
          <w:p>
            <w:pPr>
              <w:spacing w:after="0"/>
              <w:rPr>
                <w:sz w:val="24"/>
                <w:szCs w:val="24"/>
                <w:color w:val="auto"/>
              </w:rPr>
            </w:pPr>
          </w:p>
        </w:tc>
      </w:tr>
      <w:tr>
        <w:trPr>
          <w:trHeight w:val="366"/>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T1 Energy Inc.</w:t>
            </w:r>
          </w:p>
        </w:tc>
        <w:tc>
          <w:tcPr>
            <w:tcW w:w="2960" w:type="dxa"/>
            <w:vAlign w:val="bottom"/>
          </w:tcPr>
          <w:p>
            <w:pPr>
              <w:spacing w:after="0"/>
              <w:rPr>
                <w:sz w:val="24"/>
                <w:szCs w:val="24"/>
                <w:color w:val="auto"/>
              </w:rPr>
            </w:pPr>
          </w:p>
        </w:tc>
      </w:tr>
      <w:tr>
        <w:trPr>
          <w:trHeight w:val="208"/>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2960" w:type="dxa"/>
            <w:vAlign w:val="bottom"/>
          </w:tcPr>
          <w:p>
            <w:pPr>
              <w:spacing w:after="0"/>
              <w:rPr>
                <w:sz w:val="18"/>
                <w:szCs w:val="18"/>
                <w:color w:val="auto"/>
              </w:rPr>
            </w:pPr>
          </w:p>
        </w:tc>
      </w:tr>
      <w:tr>
        <w:trPr>
          <w:trHeight w:val="386"/>
        </w:trPr>
        <w:tc>
          <w:tcPr>
            <w:tcW w:w="3060" w:type="dxa"/>
            <w:vAlign w:val="bottom"/>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380" w:type="dxa"/>
            <w:vAlign w:val="bottom"/>
            <w:gridSpan w:val="3"/>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w w:val="98"/>
              </w:rPr>
              <w:t>001-41903</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93-3205861</w:t>
            </w:r>
          </w:p>
        </w:tc>
      </w:tr>
      <w:tr>
        <w:trPr>
          <w:trHeight w:val="175"/>
        </w:trPr>
        <w:tc>
          <w:tcPr>
            <w:tcW w:w="3060" w:type="dxa"/>
            <w:vAlign w:val="bottom"/>
            <w:tcBorders>
              <w:top w:val="single" w:sz="8" w:color="auto"/>
            </w:tcBorders>
          </w:tcPr>
          <w:p>
            <w:pPr>
              <w:jc w:val="center"/>
              <w:ind w:left="42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5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tcPr>
          <w:p>
            <w:pPr>
              <w:jc w:val="center"/>
              <w:ind w:right="620"/>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3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96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4"/>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8"/>
              </w:rPr>
              <w:t>1211 E 4th St.</w:t>
            </w:r>
          </w:p>
        </w:tc>
        <w:tc>
          <w:tcPr>
            <w:tcW w:w="2960" w:type="dxa"/>
            <w:vAlign w:val="bottom"/>
          </w:tcPr>
          <w:p>
            <w:pPr>
              <w:spacing w:after="0"/>
              <w:rPr>
                <w:sz w:val="24"/>
                <w:szCs w:val="24"/>
                <w:color w:val="auto"/>
              </w:rPr>
            </w:pPr>
          </w:p>
        </w:tc>
      </w:tr>
      <w:tr>
        <w:trPr>
          <w:trHeight w:val="193"/>
        </w:trPr>
        <w:tc>
          <w:tcPr>
            <w:tcW w:w="3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8"/>
              </w:rPr>
              <w:t>Austin, Texas 78702</w:t>
            </w:r>
          </w:p>
        </w:tc>
        <w:tc>
          <w:tcPr>
            <w:tcW w:w="2960" w:type="dxa"/>
            <w:vAlign w:val="bottom"/>
          </w:tcPr>
          <w:p>
            <w:pPr>
              <w:spacing w:after="0"/>
              <w:rPr>
                <w:sz w:val="16"/>
                <w:szCs w:val="16"/>
                <w:color w:val="auto"/>
              </w:rPr>
            </w:pPr>
          </w:p>
        </w:tc>
      </w:tr>
      <w:tr>
        <w:trPr>
          <w:trHeight w:val="208"/>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gridSpan w:val="4"/>
          </w:tcPr>
          <w:p>
            <w:pPr>
              <w:jc w:val="center"/>
              <w:ind w:right="640"/>
              <w:spacing w:after="0"/>
              <w:rPr>
                <w:sz w:val="20"/>
                <w:szCs w:val="20"/>
                <w:color w:val="auto"/>
              </w:rPr>
            </w:pPr>
            <w:r>
              <w:rPr>
                <w:rFonts w:ascii="Times New Roman" w:cs="Times New Roman" w:eastAsia="Times New Roman" w:hAnsi="Times New Roman"/>
                <w:sz w:val="16"/>
                <w:szCs w:val="16"/>
                <w:color w:val="auto"/>
                <w:w w:val="99"/>
              </w:rPr>
              <w:t>(Address of principal executive offices, including zip code)</w:t>
            </w:r>
          </w:p>
        </w:tc>
        <w:tc>
          <w:tcPr>
            <w:tcW w:w="2960" w:type="dxa"/>
            <w:vAlign w:val="bottom"/>
          </w:tcPr>
          <w:p>
            <w:pPr>
              <w:spacing w:after="0"/>
              <w:rPr>
                <w:sz w:val="18"/>
                <w:szCs w:val="18"/>
                <w:color w:val="auto"/>
              </w:rPr>
            </w:pPr>
          </w:p>
        </w:tc>
      </w:tr>
      <w:tr>
        <w:trPr>
          <w:trHeight w:val="382"/>
        </w:trPr>
        <w:tc>
          <w:tcPr>
            <w:tcW w:w="3060" w:type="dxa"/>
            <w:vAlign w:val="bottom"/>
          </w:tcPr>
          <w:p>
            <w:pPr>
              <w:spacing w:after="0"/>
              <w:rPr>
                <w:sz w:val="24"/>
                <w:szCs w:val="24"/>
                <w:color w:val="auto"/>
              </w:rPr>
            </w:pPr>
          </w:p>
        </w:tc>
        <w:tc>
          <w:tcPr>
            <w:tcW w:w="52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Registrant’s telephone number, including area code: </w:t>
            </w:r>
            <w:r>
              <w:rPr>
                <w:rFonts w:ascii="Times New Roman" w:cs="Times New Roman" w:eastAsia="Times New Roman" w:hAnsi="Times New Roman"/>
                <w:sz w:val="16"/>
                <w:szCs w:val="16"/>
                <w:b w:val="1"/>
                <w:bCs w:val="1"/>
                <w:color w:val="auto"/>
                <w:w w:val="99"/>
              </w:rPr>
              <w:t>409-599-5706</w:t>
            </w:r>
          </w:p>
        </w:tc>
        <w:tc>
          <w:tcPr>
            <w:tcW w:w="2960" w:type="dxa"/>
            <w:vAlign w:val="bottom"/>
          </w:tcPr>
          <w:p>
            <w:pPr>
              <w:spacing w:after="0"/>
              <w:rPr>
                <w:sz w:val="24"/>
                <w:szCs w:val="24"/>
                <w:color w:val="auto"/>
              </w:rPr>
            </w:pPr>
          </w:p>
        </w:tc>
      </w:tr>
    </w:tbl>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9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360" w:hanging="281"/>
        <w:spacing w:after="0"/>
        <w:tabs>
          <w:tab w:leader="none" w:pos="36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360" w:hanging="281"/>
        <w:spacing w:after="0"/>
        <w:tabs>
          <w:tab w:leader="none" w:pos="36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360" w:hanging="293"/>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280" w:right="3780" w:hanging="213"/>
        <w:spacing w:after="0" w:line="497" w:lineRule="auto"/>
        <w:tabs>
          <w:tab w:leader="none" w:pos="3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1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TE</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New York Stock Exchange</w:t>
            </w:r>
          </w:p>
        </w:tc>
      </w:tr>
      <w:tr>
        <w:trPr>
          <w:trHeight w:val="175"/>
        </w:trPr>
        <w:tc>
          <w:tcPr>
            <w:tcW w:w="396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w w:val="99"/>
              </w:rPr>
              <w:t>Warrants, each whole warrant exercisable for one Common</w:t>
            </w:r>
          </w:p>
        </w:tc>
        <w:tc>
          <w:tcPr>
            <w:tcW w:w="370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w w:val="96"/>
              </w:rPr>
              <w:t>TE WS</w:t>
            </w:r>
          </w:p>
        </w:tc>
        <w:tc>
          <w:tcPr>
            <w:tcW w:w="3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The New York Stock Exchange</w:t>
            </w:r>
          </w:p>
        </w:tc>
      </w:tr>
      <w:tr>
        <w:trPr>
          <w:trHeight w:val="20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Stock at an exercise price for $11.50 per share</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74" w:lineRule="exact"/>
        <w:rPr>
          <w:sz w:val="24"/>
          <w:szCs w:val="24"/>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On May 12, 2026, T1 Energy Inc., a Delaware corporation (the “Company”), issued a press release announcing its financial results for the quarter ended March 31, 2026.</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information set forth under Item 9.01 of this Current Report on Form 8-K is incorporated herein by reference.</w:t>
      </w:r>
    </w:p>
    <w:p>
      <w:pPr>
        <w:spacing w:after="0" w:line="198"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information in this Item 2.02, including the Exhibit 99.1 attached hereto, is being furnished and shall not be deemed “filed” for purposes of Section 18 of the Securities Exchange Act of 1934, as amended (the “Exchange Act”), nor shall it be deemed incorporated by reference in any filing under the Securities Act of 1933, as amended (the “Securities Act”), except as shall be expressly set forth by specific reference in such filing.</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Company is furnishing its earnings call presentation for the quarter ended March 31, 2026 (the “Presentation”), attached as Exhibit 99.2 to this Current Report on Form 8-K, which may be referred to on the Company’s conference call for the financial results for the quarter ended March 31, 2026 to be held on May 12, 2026. The Presentation will also be available on the Company’s website at https://www.t1energy.com.</w:t>
      </w:r>
    </w:p>
    <w:p>
      <w:pPr>
        <w:spacing w:after="0" w:line="155" w:lineRule="exact"/>
        <w:rPr>
          <w:sz w:val="20"/>
          <w:szCs w:val="20"/>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The information in this Item 7.01, including the Exhibit 99.2 attached hereto, is being furnished and shall not be deemed “filed” for purposes of Section 18 of the Exchange Act, nor shall it be deemed incorporated by reference in any filing under the Securities Act, except as shall be expressly set forth by specific reference in such filing.</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(d) Exhibits.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0100" w:type="dxa"/>
            <w:vAlign w:val="bottom"/>
            <w:tcBorders>
              <w:top w:val="single" w:sz="8" w:color="auto"/>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May 12, 2026, reporting T1 Energy Inc.’s financial results for the quarter ended March 31, 2026.</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080" w:type="dxa"/>
            <w:vAlign w:val="bottom"/>
            <w:shd w:val="clear" w:color="auto" w:fill="0000EE"/>
          </w:tcPr>
          <w:p>
            <w:pPr>
              <w:spacing w:after="0"/>
              <w:rPr>
                <w:sz w:val="3"/>
                <w:szCs w:val="3"/>
                <w:color w:val="auto"/>
              </w:rPr>
            </w:pPr>
          </w:p>
        </w:tc>
        <w:tc>
          <w:tcPr>
            <w:tcW w:w="3340" w:type="dxa"/>
            <w:vAlign w:val="bottom"/>
            <w:shd w:val="clear" w:color="auto" w:fill="0000EE"/>
          </w:tcPr>
          <w:p>
            <w:pPr>
              <w:spacing w:after="0"/>
              <w:rPr>
                <w:sz w:val="3"/>
                <w:szCs w:val="3"/>
                <w:color w:val="auto"/>
              </w:rPr>
            </w:pPr>
          </w:p>
        </w:tc>
        <w:tc>
          <w:tcPr>
            <w:tcW w:w="268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1010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0000EE"/>
              </w:rPr>
              <w:t>Earnings call presentation for the quarter ended March 31, 2026.</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7" w:lineRule="exact"/>
        <w:rPr>
          <w:sz w:val="20"/>
          <w:szCs w:val="20"/>
          <w:color w:val="auto"/>
        </w:rPr>
      </w:pPr>
    </w:p>
    <w:p>
      <w:pPr>
        <w:ind w:left="5584" w:right="4980" w:hanging="5584"/>
        <w:spacing w:after="0" w:line="477"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148195"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217805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1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T1 Energy Inc.</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 /s/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15240</wp:posOffset>
            </wp:positionV>
            <wp:extent cx="26409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1"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Evan Calio</w:t>
      </w:r>
    </w:p>
    <w:p>
      <w:pPr>
        <w:spacing w:after="0" w:line="24"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12, 2026</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-105410</wp:posOffset>
            </wp:positionV>
            <wp:extent cx="849630" cy="326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9630"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T1 Energy Reports First Quarter 2026 Results</w:t>
      </w:r>
    </w:p>
    <w:p>
      <w:pPr>
        <w:spacing w:after="0" w:line="19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Austin, TX and New York, NY, May 12, 2026, </w:t>
      </w:r>
      <w:r>
        <w:rPr>
          <w:rFonts w:ascii="Times New Roman" w:cs="Times New Roman" w:eastAsia="Times New Roman" w:hAnsi="Times New Roman"/>
          <w:sz w:val="16"/>
          <w:szCs w:val="16"/>
          <w:color w:val="auto"/>
        </w:rPr>
        <w:t>T1 Energy Inc. (NYSE: TE) (“T1,” “T1 Energy,” or the “Company”) today reported financial and operating results for the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quarter 2026. The Company will hold a conference call today at 8:00 am EDT.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Headlines</w:t>
      </w:r>
    </w:p>
    <w:p>
      <w:pPr>
        <w:spacing w:after="0" w:line="198" w:lineRule="exact"/>
        <w:rPr>
          <w:sz w:val="20"/>
          <w:szCs w:val="20"/>
          <w:color w:val="auto"/>
        </w:rPr>
      </w:pPr>
    </w:p>
    <w:p>
      <w:pPr>
        <w:jc w:val="both"/>
        <w:ind w:left="560" w:right="20" w:hanging="278"/>
        <w:spacing w:after="0" w:line="257"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Construction proceeding on schedule at G2_Austin, timeline for completion unchanged</w:t>
      </w:r>
      <w:r>
        <w:rPr>
          <w:rFonts w:ascii="Times New Roman" w:cs="Times New Roman" w:eastAsia="Times New Roman" w:hAnsi="Times New Roman"/>
          <w:sz w:val="16"/>
          <w:szCs w:val="16"/>
          <w:color w:val="auto"/>
        </w:rPr>
        <w:t>. Construction on the first 2.1 GW phase of T1’s flagship U.S. solar cell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fab, G2_Austin, is progressing according to plan. During the first quarter, long lead time capital items including the steel package were ordered while ground works and infrastructure development at the site advanced. Concrete works commenced in April 2026, and the engineering team completed design work by finalizing the full Issued for Construction package in early May. T1 expects to begin erecting the first structural steel at G2 later in May, and the Company continues to target initial cell production at G2 in Q4 2026.</w:t>
      </w:r>
    </w:p>
    <w:p>
      <w:pPr>
        <w:spacing w:after="0" w:line="162" w:lineRule="exact"/>
        <w:rPr>
          <w:rFonts w:ascii="Times New Roman" w:cs="Times New Roman" w:eastAsia="Times New Roman" w:hAnsi="Times New Roman"/>
          <w:sz w:val="16"/>
          <w:szCs w:val="16"/>
          <w:color w:val="auto"/>
        </w:rPr>
      </w:pPr>
    </w:p>
    <w:p>
      <w:pPr>
        <w:jc w:val="both"/>
        <w:ind w:left="560" w:hanging="278"/>
        <w:spacing w:after="0" w:line="26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T1 achieves record quarterly Net Income from Continuing Operations of $3.9 million and record quarterly Adjusted EBITDA of $9.1 million in Q1 2026</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the successful ramp of production at G1_Dallas in 2025, T1 achieved record quarterly profitability during the first quarter of 2026 due to higher than forecasted G1_Dallas production and sales, along with a favorable sequential mix shift of deliveries from merchant sales to fixed margin and cost-plus offtake contracts, and lower third-party fees.</w:t>
      </w:r>
    </w:p>
    <w:p>
      <w:pPr>
        <w:spacing w:after="0" w:line="158" w:lineRule="exact"/>
        <w:rPr>
          <w:rFonts w:ascii="Times New Roman" w:cs="Times New Roman" w:eastAsia="Times New Roman" w:hAnsi="Times New Roman"/>
          <w:sz w:val="16"/>
          <w:szCs w:val="16"/>
          <w:color w:val="auto"/>
        </w:rPr>
      </w:pPr>
    </w:p>
    <w:p>
      <w:pPr>
        <w:jc w:val="both"/>
        <w:ind w:left="560" w:hanging="278"/>
        <w:spacing w:after="0" w:line="26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Capital formation is progressing through diligence. </w:t>
      </w:r>
      <w:r>
        <w:rPr>
          <w:rFonts w:ascii="Times New Roman" w:cs="Times New Roman" w:eastAsia="Times New Roman" w:hAnsi="Times New Roman"/>
          <w:sz w:val="16"/>
          <w:szCs w:val="16"/>
          <w:color w:val="auto"/>
        </w:rPr>
        <w:t>T1 has identified and is targeting a comprehensive financing solution in Q2 2026 that includes a significant debt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component to fund the remaining estimated capital spending required for the 2.1 GW Phase 1 of G2_Austin. With $174.7 million of estimated net proceeds generated from the pricing of the Company’s upsized public offering of convertible senior notes in April 2026, the estimated Phase 1 financing requirement now stands at approximately $225 million.</w:t>
      </w:r>
    </w:p>
    <w:p>
      <w:pPr>
        <w:spacing w:after="0" w:line="16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team made excellent progress during the first quarter to advance our top priorities: operate profitably at G1_Dallas, fund and build G2_Austin, and establish T1 as an integrated, homegrown U.S. solar and storage powerhouse supporting domestic energy and hyperscaler development” said Dan Barcelo, Chief Executive Officer and Chairman of T1 Energy. “As we look ahead, we are focused on hitting key construction milestones, targeting a comprehensive financing package for G2_Austin in the second quarter, building our offtake coverage through our developer customer base, and driving profitability as T1 grows.”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update and guidance</w:t>
      </w:r>
    </w:p>
    <w:p>
      <w:pPr>
        <w:spacing w:after="0" w:line="198" w:lineRule="exact"/>
        <w:rPr>
          <w:sz w:val="20"/>
          <w:szCs w:val="20"/>
          <w:color w:val="auto"/>
        </w:rPr>
      </w:pPr>
    </w:p>
    <w:p>
      <w:pPr>
        <w:jc w:val="both"/>
        <w:ind w:left="560" w:hanging="278"/>
        <w:spacing w:after="0" w:line="257"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Maintaining 2026 operating guidance and awaiting clarity on key swing factors for 2026 financial guidance. </w:t>
      </w:r>
      <w:r>
        <w:rPr>
          <w:rFonts w:ascii="Times New Roman" w:cs="Times New Roman" w:eastAsia="Times New Roman" w:hAnsi="Times New Roman"/>
          <w:sz w:val="16"/>
          <w:szCs w:val="16"/>
          <w:color w:val="auto"/>
        </w:rPr>
        <w:t>T1’s 2026 production guidance range of 3.1 – 4.2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GW from G1_Dallas is unchanged. The Company believes it is well positioned to achieve the high-end of this targeted production range in 2026 based on continued progress qualifying international cell vendors. Other swing factors that could impact T1’s 2026 Adjusted EBITDA include: customer merchant sales demand for H2 2026, a potential ruling in the U.S. Department of Commerce’s Section 232 investigation into foreign sourced polysilicon and derivatives, and the status of International Emergency Economic Powers Act (“IEEPA”) tariffs.</w:t>
      </w:r>
    </w:p>
    <w:p>
      <w:pPr>
        <w:spacing w:after="0" w:line="162"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Preliminary indications of incremental customer demand for integrated G1_Dallas/G2_Austin high domestic content modules. </w:t>
      </w:r>
      <w:r>
        <w:rPr>
          <w:rFonts w:ascii="Times New Roman" w:cs="Times New Roman" w:eastAsia="Times New Roman" w:hAnsi="Times New Roman"/>
          <w:sz w:val="16"/>
          <w:szCs w:val="16"/>
          <w:color w:val="auto"/>
        </w:rPr>
        <w:t>T1 continues to pursue multi-year offtake contracts through strategic partnerships as well as merchant sales opportunities. With safe harboring deadlines and a potential Section 232 outcome looming, Indicative customer demand for potential G1/G2 offtakes covers more than 100% of the Company’s anticipated G1/G2 production capacity for 2027 - 2028.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62"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6"/>
          <w:szCs w:val="16"/>
          <w:color w:val="auto"/>
        </w:rPr>
        <w:t>T1 Energy Inc.</w:t>
      </w:r>
      <w:r>
        <w:rPr>
          <w:sz w:val="20"/>
          <w:szCs w:val="20"/>
          <w:color w:val="auto"/>
        </w:rPr>
        <w:tab/>
      </w:r>
      <w:r>
        <w:rPr>
          <w:rFonts w:ascii="Times New Roman" w:cs="Times New Roman" w:eastAsia="Times New Roman" w:hAnsi="Times New Roman"/>
          <w:sz w:val="15"/>
          <w:szCs w:val="15"/>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 w:name="page5"/>
    <w:bookmarkEnd w:id="4"/>
    <w:p>
      <w:pPr>
        <w:jc w:val="both"/>
        <w:ind w:left="560" w:right="20" w:hanging="278"/>
        <w:spacing w:after="0" w:line="266"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T1 is committed to strategic alignment with key U.S. policy initiatives. </w:t>
      </w:r>
      <w:r>
        <w:rPr>
          <w:rFonts w:ascii="Times New Roman" w:cs="Times New Roman" w:eastAsia="Times New Roman" w:hAnsi="Times New Roman"/>
          <w:sz w:val="16"/>
          <w:szCs w:val="16"/>
          <w:color w:val="auto"/>
        </w:rPr>
        <w:t>As a large buyer of U.S. polysilicon and wafers through long-term supply agreements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Hemlock Semiconductor and Corning Inc. (NYSE: GLW), T1 believes it is well positioned for a potential ruling in the U.S. Department of Commerce’s Section 232 investigation into foreign sourced polysilicon.</w:t>
      </w:r>
    </w:p>
    <w:p>
      <w:pPr>
        <w:spacing w:after="0" w:line="153"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T1 underscores commitment to American advanced manufacturing with organizational development. </w:t>
      </w:r>
      <w:r>
        <w:rPr>
          <w:rFonts w:ascii="Times New Roman" w:cs="Times New Roman" w:eastAsia="Times New Roman" w:hAnsi="Times New Roman"/>
          <w:sz w:val="16"/>
          <w:szCs w:val="16"/>
          <w:color w:val="auto"/>
        </w:rPr>
        <w:t>The Company continues to strengthen and grow key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functions in sales, engineering, and supply chain to expand T1’s commercial presence in the utility-scale and hyperscaler ecosystems, enhance internal technical capabilities, and build cost optimized, integrated U.S. and global supply chains.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Subsequent Events to Q1 2026</w:t>
      </w:r>
    </w:p>
    <w:p>
      <w:pPr>
        <w:spacing w:after="0" w:line="198" w:lineRule="exact"/>
        <w:rPr>
          <w:sz w:val="20"/>
          <w:szCs w:val="20"/>
          <w:color w:val="auto"/>
        </w:rPr>
      </w:pPr>
    </w:p>
    <w:p>
      <w:pPr>
        <w:jc w:val="both"/>
        <w:ind w:left="560" w:right="20" w:hanging="278"/>
        <w:spacing w:after="0" w:line="260"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T1 completed an upsized public offering of convertible senior notes due 2031. </w:t>
      </w:r>
      <w:r>
        <w:rPr>
          <w:rFonts w:ascii="Times New Roman" w:cs="Times New Roman" w:eastAsia="Times New Roman" w:hAnsi="Times New Roman"/>
          <w:sz w:val="16"/>
          <w:szCs w:val="16"/>
          <w:color w:val="auto"/>
        </w:rPr>
        <w:t>In April 2026, the Company completed a public offering of $160 million aggregate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principal amount of its 4.00% convertible senior notes due 2031. The offering, which was upsized from an originally targeted $125.0 million, generated net proceeds of $174.7 million and has positioned T1 to progress construction of the 2.1 GW Phase 1 of G2_Austin while the company pursues a comprehensive financing solution with a significant debt component.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Q1 2026 Results Overview</w:t>
      </w:r>
    </w:p>
    <w:p>
      <w:pPr>
        <w:spacing w:after="0" w:line="200" w:lineRule="exact"/>
        <w:rPr>
          <w:sz w:val="20"/>
          <w:szCs w:val="20"/>
          <w:color w:val="auto"/>
        </w:rPr>
      </w:pPr>
    </w:p>
    <w:p>
      <w:pPr>
        <w:jc w:val="both"/>
        <w:ind w:left="560" w:hanging="278"/>
        <w:spacing w:after="0" w:line="259"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T1 Energy reported a net loss attributable to common stockholders for the first quarter of 2026 of $21.4 million, or $(0.08) per share compared to a net loss of $17.1 million, or $(0.11) per share for the first quarter of 2025. Net income from continuing operations was $3.9 million, or $0.01 per share for the first quarter of 2026 compared to a net loss from continuing operations of $6.3 million, or $(0.05) per share for the first quarter of 2025. Net loss from discontinued operations was $24.3 million, or $(0.09) per share for the first quarter of 2026 compared to $10.0 million, or $(0.06) per share for the first quarter of 2025.</w:t>
      </w:r>
    </w:p>
    <w:p>
      <w:pPr>
        <w:spacing w:after="0" w:line="161"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T1 had cash, cash equivalents, and restricted cash of $123.7 million, of which $46.4 million was unrestricted cash.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Presentation of First Quarter 2026 Results</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 presentation will be held today, May 12, 2026, at 8:00 am Eastern Daylight Time to discuss financial and operating results for the first quarter 2026. The results and presentation material will be available for download at https://ir.t1energy.com/.</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Participants can access the conference call by clicking the following link and completing the online registration form. Upon registering participants will receive the dial-in info and PIN to join the call.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call will also be available by clicking the webcast link.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T1 Energy</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T1 Energy Inc. (NYSE: TE) is an energy solutions provider building an integrated U.S. supply chain for solar and batteries. In December 2024, T1 completed a transformative transaction, positioning the Company as one of the leading solar manufacturing companies in the U.S., with a complementary solar and battery storage strategy. Based in the U.S. with plans to expand its operations in America, the Company is also exploring value optimization opportunities across its portfolio of assets in Europe.</w:t>
      </w:r>
    </w:p>
    <w:p>
      <w:pPr>
        <w:spacing w:after="0" w:line="155"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6"/>
          <w:szCs w:val="16"/>
          <w:color w:val="auto"/>
        </w:rPr>
        <w:t>T1 Energy Inc.</w:t>
      </w:r>
      <w:r>
        <w:rPr>
          <w:sz w:val="20"/>
          <w:szCs w:val="20"/>
          <w:color w:val="auto"/>
        </w:rPr>
        <w:tab/>
      </w:r>
      <w:r>
        <w:rPr>
          <w:rFonts w:ascii="Times New Roman" w:cs="Times New Roman" w:eastAsia="Times New Roman" w:hAnsi="Times New Roman"/>
          <w:sz w:val="15"/>
          <w:szCs w:val="15"/>
          <w:color w:val="auto"/>
        </w:rPr>
        <w:t>News Release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To learn more about T1, please visit www.T1energy.com and follow on social media.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contact: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Jeffrey Spittel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EVP, Investor Relations and Corporate Development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jeffrey.spittel@T1energy.com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+1 409 599-5706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contact: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Russell Gold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EVP, Strategic Communications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russell.gold@T1energy.com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+1 214 616-9715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Concerning 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with respect to T1’s strategy of developing as an integrated U.S. solar and storage leader, powering U.S. AI development and energy dominance and establishing a domestic solar supply chain (including its desired position as the first vertically integrated American silicon-based advanced solar company); T1’s ability to build commercial traction with U.S. customers; T1’s ability to generate meaningful long-term shareholder value; T1’s project financing and development of G2_Austin and related timeline (including the timing for funding and completing G2_Austin); T1’s financial and operating performance and guidance (including 2026 operating and financial guidance) and any projected business outlook; the outcome and timing of the U.S. Department of Commerce’s Section 232 investigation, any ruling thereunder, and the impact of any such ruling on T1’s pricing, demand, customer behavior, and 2026 Adjusted EBITDA; the growth of U.S. electricity demand; T1’s commercial presence and ability to grow its U.S. customer base; T1’s ability to meet its production plan and pursue strategic partnerships; T1’s capital formation opportunities and the timing thereof; any cell procurement targets and indications of customer demand in 2026; T1’s ability to optimize its capital structure; the ramp up of production and revenues at G1_Dallas (including the timing for module production); discussions with utilities/developers to explore strategic partnerships; any commercial funnel of sales opportunities for 2026 and beyond (including customer pursuits, advanced opportunities and ongoing discussions with customers); and T1’s ability to meet its strategic priorities to fund and build T1’s integrated polysilicon solar supply chain and enhance its profitability and capital structure. These forward-looking statements are based on management’s current expectations. These statements are neither promises nor guarantees, but involve known and unknown risks, uncertainties and other important factors that may cause actual future events, results, or achievements to be materially different from T1’s expectations and projections expressed or implied by the forward-looking statements. Important factors include, but are not limited to, those discussed under the caption “Risk Factors” in T1’s Annual Report on Form 10-K for the year ended December 31, 2025 filed with the U.S. Securities and Exchange Commission (the “SEC”) on March 31, 2026, as amended and supplemented by Amendment No. 1 on Form 10-K/A filed with the SEC on April 30, 2026, including risks related to: (1) T1’s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T1’s internal control over financial reporting or otherwise maintain effective internal control over financial reporting, (ix) qualify for the advanced manufacturing production credit under Section 45X of the Internal Revenue Code of 1986, as amended, and (x) rely on third-party warranties; (2) the concentration of T1’s operations in Texas and its dependence on a limited number of suppliers; (3) changes adversely affecting the flow of components and materials from international vendors, the costs of raw materials, components, equipment, and machinery; (4) general economic and geopolitical conditions, (5) changes in applicable laws or regulations, including environmental, export control and tax laws and incentives and renewable energy targets, as well as international trade policies, including tariffs, on T1’s products and competitive position; (6) the outcome of any legal proceedings relating to T1’s products and services, including intellectual property or product liability claims, commercial or contractual disputes, warranty claims, and other proceedings; and (7) the capital-intensive nature of T1’s business and its ability to raise additional capital on attractive terms or service its debt. The above referenced filings are available on the SEC’s website at www.sec.gov. Forward-looking statements speak only as of the date of this press release and are based on information available to T1 as of the date of this press release, and T1 assumes no obligation to update such forward-looking statements, all of which are expressly qualified by the statements in this section, whether as a result of new information, future events or otherwise, except as required by law.</w:t>
      </w:r>
    </w:p>
    <w:p>
      <w:pPr>
        <w:spacing w:after="0" w:line="178"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6"/>
          <w:szCs w:val="16"/>
          <w:color w:val="auto"/>
        </w:rPr>
        <w:t>T1 Energy Inc.</w:t>
      </w:r>
      <w:r>
        <w:rPr>
          <w:sz w:val="20"/>
          <w:szCs w:val="20"/>
          <w:color w:val="auto"/>
        </w:rPr>
        <w:tab/>
      </w:r>
      <w:r>
        <w:rPr>
          <w:rFonts w:ascii="Times New Roman" w:cs="Times New Roman" w:eastAsia="Times New Roman" w:hAnsi="Times New Roman"/>
          <w:sz w:val="15"/>
          <w:szCs w:val="15"/>
          <w:color w:val="auto"/>
        </w:rPr>
        <w:t>News Release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6"/>
          <w:szCs w:val="16"/>
          <w:color w:val="auto"/>
        </w:rPr>
        <w:t>T1 intends to use its website as a channel of distribution to disclose information which may be of interest or material to investors and to communicate with investors and the public. Such disclosures will be included on T1’s website in the ‘Investor Relations’ section. T1, and its CEO and Chairman of the Board, Daniel Barcelo, also intend to use certain social media channels, including, but not limited to, X, LinkedIn and Instagram, as means of communicating with the public and investors about T1, its progress, products, and other matters. While not all the information that T1 or Daniel Barcelo post to their respective digital platforms may be deemed to be of a material nature, some information may be. As a result, T1 encourages investors and others interested to review the information that it and Daniel Barcelo posts and to monitor such portions of T1’s website and social media channels on a regular basis, in addition to following T1’s press releases, SEC filings, and public conference calls and webcasts. The contents of T1’s website and its and Daniel Barcelo’s social media channels shall not be deemed incorporated by reference in any filing under the Securities Act of 1933, as amended.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Non-GAAP Financial Measures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T1 reports financial results in accordance with generally accepted accounting principles in the United States (“GAAP”). Adjusted EBITDA presented herein is a supplemental measure of T1’s performance that is not required by, or presented in accordance with, GAAP. The presentation of this non-GAAP financial measure is not intended to be considered in isolation or as a substitute for, or superior to, financial information prepared and presented in accordance with GAAP.</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T1 defines Adjusted EBITDA as net income (loss) from continuing operations before interest expense, income tax expense (benefit), depreciation and amortization, and further adjustments to exclude certain items that management does not consider indicative of the Company’s core operating performance, including, but not limited to, non-cash charges, non-recurring items, and non-operating gains or losses. These adjustments include impairment charges, losses on debt extinguishment, losses on settlement of derivative liabilities, share-based compensation, fair value adjustments of warrant and derivative liabilities, and non-recurring transaction expenses. Our Adjusted EBITDA measure was re-defined in the fourth quarter of 2025 to also exclude certain non-recurring transaction expenses. The historical presentation of Adjusted EBITDA in this press release has been recast to conform to the revised definition.</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T1 uses Adjusted EBITDA as a key measure in evaluating its financial and operating performance and in making strategic business decisions. T1 believes that Adjusted EBITDA, when considered together with the corresponding GAAP financial measures, provides meaningful supplemental information by excluding items that may not be representative of its core business, operating results, or future outlook. However, Adjusted EBITDA is not a measure of financial performance under GAAP and should not be considered as an alternative to net income (loss) from continuing operations or any other measure of performance or liquidity presented in accordance with GAAP.</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Adjusted EBITDA has been reconciled to the nearest GAAP measure for historical periods in the table entitled “Reconciliation of Non-GAAP Measures to Most Comparable Amounts” set forth on Annex A of this press release.</w:t>
      </w:r>
    </w:p>
    <w:p>
      <w:pPr>
        <w:spacing w:after="0" w:line="144"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6"/>
          <w:szCs w:val="16"/>
          <w:color w:val="auto"/>
        </w:rPr>
        <w:t>T1 Energy Inc.</w:t>
      </w:r>
      <w:r>
        <w:rPr>
          <w:sz w:val="20"/>
          <w:szCs w:val="20"/>
          <w:color w:val="auto"/>
        </w:rPr>
        <w:tab/>
      </w:r>
      <w:r>
        <w:rPr>
          <w:rFonts w:ascii="Times New Roman" w:cs="Times New Roman" w:eastAsia="Times New Roman" w:hAnsi="Times New Roman"/>
          <w:sz w:val="15"/>
          <w:szCs w:val="15"/>
          <w:color w:val="auto"/>
        </w:rPr>
        <w:t>News Release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T1 ENERGY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4"/>
        </w:trPr>
        <w:tc>
          <w:tcPr>
            <w:tcW w:w="8560" w:type="dxa"/>
            <w:vAlign w:val="bottom"/>
            <w:vMerge w:val="restart"/>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46,367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182,450</w:t>
            </w:r>
          </w:p>
        </w:tc>
        <w:tc>
          <w:tcPr>
            <w:tcW w:w="0" w:type="dxa"/>
            <w:vAlign w:val="bottom"/>
          </w:tcPr>
          <w:p>
            <w:pPr>
              <w:spacing w:after="0"/>
              <w:rPr>
                <w:sz w:val="1"/>
                <w:szCs w:val="1"/>
                <w:color w:val="auto"/>
              </w:rPr>
            </w:pPr>
          </w:p>
        </w:tc>
      </w:tr>
      <w:tr>
        <w:trPr>
          <w:trHeight w:val="191"/>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70,178</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81,203</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trade, net - related parties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100,023</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84,481</w:t>
            </w:r>
          </w:p>
        </w:tc>
        <w:tc>
          <w:tcPr>
            <w:tcW w:w="0" w:type="dxa"/>
            <w:vAlign w:val="bottom"/>
          </w:tcPr>
          <w:p>
            <w:pPr>
              <w:spacing w:after="0"/>
              <w:rPr>
                <w:sz w:val="1"/>
                <w:szCs w:val="1"/>
                <w:color w:val="auto"/>
              </w:rPr>
            </w:pPr>
          </w:p>
        </w:tc>
      </w:tr>
      <w:tr>
        <w:trPr>
          <w:trHeight w:val="191"/>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Government grants receivable,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77,801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36,376</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128,941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116,043</w:t>
            </w:r>
          </w:p>
        </w:tc>
        <w:tc>
          <w:tcPr>
            <w:tcW w:w="0" w:type="dxa"/>
            <w:vAlign w:val="bottom"/>
          </w:tcPr>
          <w:p>
            <w:pPr>
              <w:spacing w:after="0"/>
              <w:rPr>
                <w:sz w:val="1"/>
                <w:szCs w:val="1"/>
                <w:color w:val="auto"/>
              </w:rPr>
            </w:pPr>
          </w:p>
        </w:tc>
      </w:tr>
      <w:tr>
        <w:trPr>
          <w:trHeight w:val="191"/>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Advances to suppliers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139,105</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137,532</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10,466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5,989</w:t>
            </w:r>
          </w:p>
        </w:tc>
        <w:tc>
          <w:tcPr>
            <w:tcW w:w="0" w:type="dxa"/>
            <w:vAlign w:val="bottom"/>
          </w:tcPr>
          <w:p>
            <w:pPr>
              <w:spacing w:after="0"/>
              <w:rPr>
                <w:sz w:val="1"/>
                <w:szCs w:val="1"/>
                <w:color w:val="auto"/>
              </w:rPr>
            </w:pPr>
          </w:p>
        </w:tc>
      </w:tr>
      <w:tr>
        <w:trPr>
          <w:trHeight w:val="207"/>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19,418</w:t>
            </w:r>
          </w:p>
        </w:tc>
        <w:tc>
          <w:tcPr>
            <w:tcW w:w="0" w:type="dxa"/>
            <w:vAlign w:val="bottom"/>
          </w:tcPr>
          <w:p>
            <w:pPr>
              <w:spacing w:after="0"/>
              <w:rPr>
                <w:sz w:val="1"/>
                <w:szCs w:val="1"/>
                <w:color w:val="auto"/>
              </w:rPr>
            </w:pPr>
          </w:p>
        </w:tc>
      </w:tr>
      <w:tr>
        <w:trPr>
          <w:trHeight w:val="211"/>
        </w:trPr>
        <w:tc>
          <w:tcPr>
            <w:tcW w:w="85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663,492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7,120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7,120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345,956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302,302</w:t>
            </w:r>
          </w:p>
        </w:tc>
        <w:tc>
          <w:tcPr>
            <w:tcW w:w="0" w:type="dxa"/>
            <w:vAlign w:val="bottom"/>
          </w:tcPr>
          <w:p>
            <w:pPr>
              <w:spacing w:after="0"/>
              <w:rPr>
                <w:sz w:val="1"/>
                <w:szCs w:val="1"/>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57,449</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57,449</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169,131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180,481</w:t>
            </w:r>
          </w:p>
        </w:tc>
        <w:tc>
          <w:tcPr>
            <w:tcW w:w="0" w:type="dxa"/>
            <w:vAlign w:val="bottom"/>
          </w:tcPr>
          <w:p>
            <w:pPr>
              <w:spacing w:after="0"/>
              <w:rPr>
                <w:sz w:val="1"/>
                <w:szCs w:val="1"/>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under operating leases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162,834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151,166</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9,916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10,098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vMerge w:val="continue"/>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1,337,078</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56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b w:val="1"/>
                <w:bCs w:val="1"/>
                <w:color w:val="auto"/>
              </w:rPr>
              <w:t>LIABILITIES, REDEEMABLE PREFERRED STOCK AND STOCKHOLDERS’ EQUITY</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96,493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91,323</w:t>
            </w:r>
          </w:p>
        </w:tc>
        <w:tc>
          <w:tcPr>
            <w:tcW w:w="0" w:type="dxa"/>
            <w:vAlign w:val="bottom"/>
          </w:tcPr>
          <w:p>
            <w:pPr>
              <w:spacing w:after="0"/>
              <w:rPr>
                <w:sz w:val="1"/>
                <w:szCs w:val="1"/>
                <w:color w:val="auto"/>
              </w:rPr>
            </w:pPr>
          </w:p>
        </w:tc>
      </w:tr>
      <w:tr>
        <w:trPr>
          <w:trHeight w:val="191"/>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64,661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47,224</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90,006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56,731</w:t>
            </w:r>
          </w:p>
        </w:tc>
        <w:tc>
          <w:tcPr>
            <w:tcW w:w="0" w:type="dxa"/>
            <w:vAlign w:val="bottom"/>
          </w:tcPr>
          <w:p>
            <w:pPr>
              <w:spacing w:after="0"/>
              <w:rPr>
                <w:sz w:val="1"/>
                <w:szCs w:val="1"/>
                <w:color w:val="auto"/>
              </w:rPr>
            </w:pPr>
          </w:p>
        </w:tc>
      </w:tr>
      <w:tr>
        <w:trPr>
          <w:trHeight w:val="191"/>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48,236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46,357</w:t>
            </w:r>
          </w:p>
        </w:tc>
        <w:tc>
          <w:tcPr>
            <w:tcW w:w="0" w:type="dxa"/>
            <w:vAlign w:val="bottom"/>
          </w:tcPr>
          <w:p>
            <w:pPr>
              <w:spacing w:after="0"/>
              <w:rPr>
                <w:sz w:val="1"/>
                <w:szCs w:val="1"/>
                <w:color w:val="auto"/>
              </w:rPr>
            </w:pPr>
          </w:p>
        </w:tc>
      </w:tr>
      <w:tr>
        <w:trPr>
          <w:trHeight w:val="191"/>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 - related parties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108,964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162,754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56,397</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47,538</w:t>
            </w:r>
          </w:p>
        </w:tc>
        <w:tc>
          <w:tcPr>
            <w:tcW w:w="0" w:type="dxa"/>
            <w:vAlign w:val="bottom"/>
          </w:tcPr>
          <w:p>
            <w:pPr>
              <w:spacing w:after="0"/>
              <w:rPr>
                <w:sz w:val="1"/>
                <w:szCs w:val="1"/>
                <w:color w:val="auto"/>
              </w:rPr>
            </w:pPr>
          </w:p>
        </w:tc>
      </w:tr>
      <w:tr>
        <w:trPr>
          <w:trHeight w:val="175"/>
        </w:trPr>
        <w:tc>
          <w:tcPr>
            <w:tcW w:w="8560" w:type="dxa"/>
            <w:vAlign w:val="bottom"/>
            <w:tcBorders>
              <w:top w:val="single" w:sz="8" w:color="CCEEFF"/>
            </w:tcBorders>
          </w:tcPr>
          <w:p>
            <w:pPr>
              <w:ind w:left="280"/>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465,889</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463,588</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deferred revenue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48,189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48,189</w:t>
            </w:r>
          </w:p>
        </w:tc>
        <w:tc>
          <w:tcPr>
            <w:tcW w:w="0" w:type="dxa"/>
            <w:vAlign w:val="bottom"/>
          </w:tcPr>
          <w:p>
            <w:pPr>
              <w:spacing w:after="0"/>
              <w:rPr>
                <w:sz w:val="1"/>
                <w:szCs w:val="1"/>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153,381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152,960</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154,069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143,534</w:t>
            </w:r>
          </w:p>
        </w:tc>
        <w:tc>
          <w:tcPr>
            <w:tcW w:w="0" w:type="dxa"/>
            <w:vAlign w:val="bottom"/>
          </w:tcPr>
          <w:p>
            <w:pPr>
              <w:spacing w:after="0"/>
              <w:rPr>
                <w:sz w:val="1"/>
                <w:szCs w:val="1"/>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122,604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137,303</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 related party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54,185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53,538</w:t>
            </w:r>
          </w:p>
        </w:tc>
        <w:tc>
          <w:tcPr>
            <w:tcW w:w="0" w:type="dxa"/>
            <w:vAlign w:val="bottom"/>
          </w:tcPr>
          <w:p>
            <w:pPr>
              <w:spacing w:after="0"/>
              <w:rPr>
                <w:sz w:val="1"/>
                <w:szCs w:val="1"/>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3,222</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3,758</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26,332</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47,353</w:t>
            </w:r>
          </w:p>
        </w:tc>
        <w:tc>
          <w:tcPr>
            <w:tcW w:w="0" w:type="dxa"/>
            <w:vAlign w:val="bottom"/>
          </w:tcPr>
          <w:p>
            <w:pPr>
              <w:spacing w:after="0"/>
              <w:rPr>
                <w:sz w:val="1"/>
                <w:szCs w:val="1"/>
                <w:color w:val="auto"/>
              </w:rPr>
            </w:pPr>
          </w:p>
        </w:tc>
      </w:tr>
      <w:tr>
        <w:trPr>
          <w:trHeight w:val="175"/>
        </w:trPr>
        <w:tc>
          <w:tcPr>
            <w:tcW w:w="8560" w:type="dxa"/>
            <w:vAlign w:val="bottom"/>
            <w:tcBorders>
              <w:top w:val="single" w:sz="8" w:color="CCEEFF"/>
            </w:tcBorders>
          </w:tcPr>
          <w:p>
            <w:pPr>
              <w:ind w:left="280"/>
              <w:spacing w:after="0" w:line="175" w:lineRule="exact"/>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1,027,871</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1,050,223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Series B convertible non-voting preferred stock, $0.01 par value, 1,600 shares issued and outstanding as of both March 31, 2026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and December 31, 2025, respectively (includes accrued dividends of $400 and $160 as of March 31, 2026 and December 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2025,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18,045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17,805</w:t>
            </w:r>
          </w:p>
        </w:tc>
        <w:tc>
          <w:tcPr>
            <w:tcW w:w="0" w:type="dxa"/>
            <w:vAlign w:val="bottom"/>
          </w:tcPr>
          <w:p>
            <w:pPr>
              <w:spacing w:after="0"/>
              <w:rPr>
                <w:sz w:val="1"/>
                <w:szCs w:val="1"/>
                <w:color w:val="auto"/>
              </w:rPr>
            </w:pPr>
          </w:p>
        </w:tc>
      </w:tr>
      <w:tr>
        <w:trPr>
          <w:trHeight w:val="175"/>
        </w:trPr>
        <w:tc>
          <w:tcPr>
            <w:tcW w:w="85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Series B-1 convertible non-voting preferred stock, $0.01 par value, 5,000 shares issued and outstanding as of both March 31, 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and December 31, 2025, respectively (includes accrued dividends of $1,250 and $500 as of March 31, 2026 and 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2025,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54,460</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53,710</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Common stock, $0.01 par value, 279,037 and 266,267 shares issued and outstanding as of March 31, 2026 and 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2025,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2,790</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2,663</w:t>
            </w:r>
          </w:p>
        </w:tc>
        <w:tc>
          <w:tcPr>
            <w:tcW w:w="0" w:type="dxa"/>
            <w:vAlign w:val="bottom"/>
          </w:tcPr>
          <w:p>
            <w:pPr>
              <w:spacing w:after="0"/>
              <w:rPr>
                <w:sz w:val="1"/>
                <w:szCs w:val="1"/>
                <w:color w:val="auto"/>
              </w:rPr>
            </w:pPr>
          </w:p>
        </w:tc>
      </w:tr>
      <w:tr>
        <w:trPr>
          <w:trHeight w:val="191"/>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1,358,278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1,358,992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(10,875)</w:t>
            </w:r>
          </w:p>
        </w:tc>
        <w:tc>
          <w:tcPr>
            <w:tcW w:w="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(18,213)</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(1,113,491)</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(1,093,072)</w:t>
            </w:r>
          </w:p>
        </w:tc>
        <w:tc>
          <w:tcPr>
            <w:tcW w:w="0" w:type="dxa"/>
            <w:vAlign w:val="bottom"/>
          </w:tcPr>
          <w:p>
            <w:pPr>
              <w:spacing w:after="0"/>
              <w:rPr>
                <w:sz w:val="1"/>
                <w:szCs w:val="1"/>
                <w:color w:val="auto"/>
              </w:rPr>
            </w:pPr>
          </w:p>
        </w:tc>
      </w:tr>
      <w:tr>
        <w:trPr>
          <w:trHeight w:val="179"/>
        </w:trPr>
        <w:tc>
          <w:tcPr>
            <w:tcW w:w="8560" w:type="dxa"/>
            <w:vAlign w:val="bottom"/>
            <w:tcBorders>
              <w:top w:val="single" w:sz="8" w:color="CCEEFF"/>
              <w:bottom w:val="single" w:sz="8" w:color="CCEEFF"/>
            </w:tcBorders>
          </w:tcPr>
          <w:p>
            <w:pPr>
              <w:ind w:left="280"/>
              <w:spacing w:after="0" w:line="175" w:lineRule="exact"/>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236,702</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250,370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 redeemable preferred stock and equity</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1,337,078</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1,372,108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T1 Energy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News Release</w:t>
            </w:r>
          </w:p>
        </w:tc>
        <w:tc>
          <w:tcPr>
            <w:tcW w:w="0" w:type="dxa"/>
            <w:vAlign w:val="bottom"/>
          </w:tcPr>
          <w:p>
            <w:pPr>
              <w:spacing w:after="0"/>
              <w:rPr>
                <w:sz w:val="1"/>
                <w:szCs w:val="1"/>
                <w:color w:val="auto"/>
              </w:rPr>
            </w:pPr>
          </w:p>
        </w:tc>
      </w:tr>
      <w:tr>
        <w:trPr>
          <w:trHeight w:val="482"/>
        </w:trPr>
        <w:tc>
          <w:tcPr>
            <w:tcW w:w="8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18"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T1 ENERGY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Net sales - related party</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177,406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53,452</w:t>
            </w: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sales</w:t>
            </w:r>
          </w:p>
        </w:tc>
        <w:tc>
          <w:tcPr>
            <w:tcW w:w="3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177,647</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148,563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35,671</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Operating expenses:</w:t>
            </w: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51,589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43,379</w:t>
            </w:r>
          </w:p>
        </w:tc>
        <w:tc>
          <w:tcPr>
            <w:tcW w:w="0" w:type="dxa"/>
            <w:vAlign w:val="bottom"/>
          </w:tcPr>
          <w:p>
            <w:pPr>
              <w:spacing w:after="0"/>
              <w:rPr>
                <w:sz w:val="1"/>
                <w:szCs w:val="1"/>
                <w:color w:val="auto"/>
              </w:rPr>
            </w:pPr>
          </w:p>
        </w:tc>
      </w:tr>
      <w:tr>
        <w:trPr>
          <w:trHeight w:val="179"/>
        </w:trPr>
        <w:tc>
          <w:tcPr>
            <w:tcW w:w="516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35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51,589</w:t>
            </w:r>
          </w:p>
        </w:tc>
        <w:tc>
          <w:tcPr>
            <w:tcW w:w="2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43,379</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 liability fair value adjustment</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10,413</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191"/>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liabilities fair value adjustment</w:t>
            </w: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19,955</w:t>
            </w:r>
          </w:p>
        </w:tc>
        <w:tc>
          <w:tcPr>
            <w:tcW w:w="2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25,229</w:t>
            </w: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 previously classified as held for sale</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191"/>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(6,164)</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1,981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79"/>
        </w:trPr>
        <w:tc>
          <w:tcPr>
            <w:tcW w:w="516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other income</w:t>
            </w:r>
          </w:p>
        </w:tc>
        <w:tc>
          <w:tcPr>
            <w:tcW w:w="35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26,185</w:t>
            </w:r>
          </w:p>
        </w:tc>
        <w:tc>
          <w:tcPr>
            <w:tcW w:w="2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16,824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2,513</w:t>
            </w: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3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(24,321)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(9,978)</w:t>
            </w: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(20,419)</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dividends and accretion</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(990)</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4"/>
        </w:trPr>
        <w:tc>
          <w:tcPr>
            <w:tcW w:w="5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160" w:type="dxa"/>
            <w:vAlign w:val="bottom"/>
            <w:vMerge w:val="continue"/>
            <w:shd w:val="clear" w:color="auto" w:fill="CCEEFF"/>
          </w:tcPr>
          <w:p>
            <w:pPr>
              <w:spacing w:after="0"/>
              <w:rPr>
                <w:sz w:val="19"/>
                <w:szCs w:val="19"/>
                <w:color w:val="auto"/>
              </w:rPr>
            </w:pPr>
          </w:p>
        </w:tc>
        <w:tc>
          <w:tcPr>
            <w:tcW w:w="3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2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(17,130</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 basic</w:t>
            </w: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278,539</w:t>
            </w:r>
          </w:p>
        </w:tc>
        <w:tc>
          <w:tcPr>
            <w:tcW w:w="2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155,933</w:t>
            </w: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 diluted</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285,252</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155,933</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3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share from continuing operations - basic and diluted</w:t>
            </w:r>
          </w:p>
        </w:tc>
        <w:tc>
          <w:tcPr>
            <w:tcW w:w="3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from discontinued operations - basic and diluted</w:t>
            </w:r>
          </w:p>
        </w:tc>
        <w:tc>
          <w:tcPr>
            <w:tcW w:w="3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3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40" w:type="dxa"/>
            <w:vAlign w:val="bottom"/>
            <w:vMerge w:val="continue"/>
          </w:tcPr>
          <w:p>
            <w:pPr>
              <w:spacing w:after="0"/>
              <w:rPr>
                <w:sz w:val="21"/>
                <w:szCs w:val="21"/>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16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(20,419)</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0" w:type="dxa"/>
            <w:vAlign w:val="bottom"/>
          </w:tcPr>
          <w:p>
            <w:pPr>
              <w:spacing w:after="0"/>
              <w:rPr>
                <w:sz w:val="1"/>
                <w:szCs w:val="1"/>
                <w:color w:val="auto"/>
              </w:rPr>
            </w:pPr>
          </w:p>
        </w:tc>
      </w:tr>
      <w:tr>
        <w:trPr>
          <w:trHeight w:val="207"/>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7,338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26,065</w:t>
            </w:r>
          </w:p>
        </w:tc>
        <w:tc>
          <w:tcPr>
            <w:tcW w:w="0" w:type="dxa"/>
            <w:vAlign w:val="bottom"/>
          </w:tcPr>
          <w:p>
            <w:pPr>
              <w:spacing w:after="0"/>
              <w:rPr>
                <w:sz w:val="1"/>
                <w:szCs w:val="1"/>
                <w:color w:val="auto"/>
              </w:rPr>
            </w:pPr>
          </w:p>
        </w:tc>
      </w:tr>
      <w:tr>
        <w:trPr>
          <w:trHeight w:val="191"/>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3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(13,081)</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dividends and accretion</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(990)</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4"/>
        </w:trPr>
        <w:tc>
          <w:tcPr>
            <w:tcW w:w="5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attributable to common stockholders</w:t>
            </w:r>
          </w:p>
        </w:tc>
        <w:tc>
          <w:tcPr>
            <w:tcW w:w="3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160" w:type="dxa"/>
            <w:vAlign w:val="bottom"/>
            <w:vMerge w:val="continue"/>
            <w:shd w:val="clear" w:color="auto" w:fill="CCEEFF"/>
          </w:tcPr>
          <w:p>
            <w:pPr>
              <w:spacing w:after="0"/>
              <w:rPr>
                <w:sz w:val="19"/>
                <w:szCs w:val="19"/>
                <w:color w:val="auto"/>
              </w:rPr>
            </w:pPr>
          </w:p>
        </w:tc>
        <w:tc>
          <w:tcPr>
            <w:tcW w:w="3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(14,071</w:t>
            </w:r>
          </w:p>
        </w:tc>
        <w:tc>
          <w:tcPr>
            <w:tcW w:w="2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T1 Energy Inc.</w:t>
            </w: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News Release</w:t>
            </w:r>
          </w:p>
        </w:tc>
        <w:tc>
          <w:tcPr>
            <w:tcW w:w="0" w:type="dxa"/>
            <w:vAlign w:val="bottom"/>
          </w:tcPr>
          <w:p>
            <w:pPr>
              <w:spacing w:after="0"/>
              <w:rPr>
                <w:sz w:val="1"/>
                <w:szCs w:val="1"/>
                <w:color w:val="auto"/>
              </w:rPr>
            </w:pPr>
          </w:p>
        </w:tc>
      </w:tr>
      <w:tr>
        <w:trPr>
          <w:trHeight w:val="482"/>
        </w:trPr>
        <w:tc>
          <w:tcPr>
            <w:tcW w:w="5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right"/>
              <w:ind w:right="294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1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T1 ENERGY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(20,419)</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(16,239)</w:t>
            </w:r>
          </w:p>
        </w:tc>
      </w:tr>
      <w:tr>
        <w:trPr>
          <w:trHeight w:val="191"/>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used in operating activities: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2,738</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shd w:val="clear" w:color="auto" w:fill="CCEEFF"/>
          </w:tcPr>
          <w:p>
            <w:pPr>
              <w:spacing w:after="0"/>
              <w:rPr>
                <w:sz w:val="16"/>
                <w:szCs w:val="16"/>
                <w:color w:val="auto"/>
              </w:rPr>
            </w:pP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25,105</w:t>
            </w:r>
          </w:p>
        </w:tc>
        <w:tc>
          <w:tcPr>
            <w:tcW w:w="2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100" w:type="dxa"/>
            <w:vAlign w:val="bottom"/>
          </w:tcPr>
          <w:p>
            <w:pPr>
              <w:spacing w:after="0"/>
              <w:rPr>
                <w:sz w:val="16"/>
                <w:szCs w:val="16"/>
                <w:color w:val="auto"/>
              </w:rPr>
            </w:pP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Impairment of assets previously classified as held for sale</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6"/>
                <w:szCs w:val="16"/>
                <w:color w:val="auto"/>
              </w:rPr>
            </w:pP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15,358</w:t>
            </w:r>
          </w:p>
        </w:tc>
        <w:tc>
          <w:tcPr>
            <w:tcW w:w="20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(645)</w:t>
            </w: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(19,955)</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(25,229)</w:t>
            </w: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(5,675)</w:t>
            </w: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debt issuance costs, premium and discount</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1,873</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shd w:val="clear" w:color="auto" w:fill="CCEEFF"/>
          </w:tcPr>
          <w:p>
            <w:pPr>
              <w:spacing w:after="0"/>
              <w:rPr>
                <w:sz w:val="16"/>
                <w:szCs w:val="16"/>
                <w:color w:val="auto"/>
              </w:rPr>
            </w:pP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Reduction in the carrying amount of right-of-use assets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2,095</w:t>
            </w:r>
          </w:p>
        </w:tc>
        <w:tc>
          <w:tcPr>
            <w:tcW w:w="2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tcPr>
          <w:p>
            <w:pPr>
              <w:spacing w:after="0"/>
              <w:rPr>
                <w:sz w:val="16"/>
                <w:szCs w:val="16"/>
                <w:color w:val="auto"/>
              </w:rPr>
            </w:pP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Warrant liability fair value adjustment</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(10,413)</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(1,567)</w:t>
            </w: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(536)</w:t>
            </w:r>
          </w:p>
        </w:tc>
        <w:tc>
          <w:tcPr>
            <w:tcW w:w="20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(995)</w:t>
            </w: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6"/>
                <w:szCs w:val="16"/>
                <w:color w:val="auto"/>
              </w:rPr>
            </w:pPr>
          </w:p>
        </w:tc>
      </w:tr>
      <w:tr>
        <w:trPr>
          <w:trHeight w:val="191"/>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trade, net - related parties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(15,542)</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(18,005)</w:t>
            </w: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Government grants receivable, net</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(41,425)</w:t>
            </w:r>
          </w:p>
        </w:tc>
        <w:tc>
          <w:tcPr>
            <w:tcW w:w="20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(13,393)</w:t>
            </w: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Inventory</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(12,898)</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(58,483)</w:t>
            </w: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w:t>
            </w:r>
          </w:p>
        </w:tc>
        <w:tc>
          <w:tcPr>
            <w:tcW w:w="20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Advances to suppliers and other current assets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(10,027)</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w:t>
            </w: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(22,266)</w:t>
            </w:r>
          </w:p>
        </w:tc>
        <w:tc>
          <w:tcPr>
            <w:tcW w:w="2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56,827</w:t>
            </w:r>
          </w:p>
        </w:tc>
        <w:tc>
          <w:tcPr>
            <w:tcW w:w="100" w:type="dxa"/>
            <w:vAlign w:val="bottom"/>
          </w:tcPr>
          <w:p>
            <w:pPr>
              <w:spacing w:after="0"/>
              <w:rPr>
                <w:sz w:val="16"/>
                <w:szCs w:val="16"/>
                <w:color w:val="auto"/>
              </w:rPr>
            </w:pPr>
          </w:p>
        </w:tc>
      </w:tr>
      <w:tr>
        <w:trPr>
          <w:trHeight w:val="223"/>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33,275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79"/>
        </w:trPr>
        <w:tc>
          <w:tcPr>
            <w:tcW w:w="7160" w:type="dxa"/>
            <w:vAlign w:val="bottom"/>
            <w:tcBorders>
              <w:top w:val="single" w:sz="8" w:color="CCEEFF"/>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15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(72,874</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(44,814</w:t>
            </w:r>
          </w:p>
        </w:tc>
        <w:tc>
          <w:tcPr>
            <w:tcW w:w="120" w:type="dxa"/>
            <w:vAlign w:val="bottom"/>
            <w:tcBorders>
              <w:top w:val="single" w:sz="8" w:color="CCEEFF"/>
              <w:bottom w:val="single" w:sz="8" w:color="CCEEFF"/>
            </w:tcBorders>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return of property and equipment deposits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6"/>
                <w:szCs w:val="16"/>
                <w:color w:val="auto"/>
              </w:rPr>
            </w:pP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(60,724)</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(29,141)</w:t>
            </w:r>
          </w:p>
        </w:tc>
      </w:tr>
      <w:tr>
        <w:trPr>
          <w:trHeight w:val="207"/>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sale of property and equipment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r>
      <w:tr>
        <w:trPr>
          <w:trHeight w:val="211"/>
        </w:trPr>
        <w:tc>
          <w:tcPr>
            <w:tcW w:w="7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(60,724</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1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Repayment of Senior Secured Credit Facility</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(13,625)</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7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Exercise of Penny Warrants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(3,760)</w:t>
            </w:r>
          </w:p>
        </w:tc>
      </w:tr>
      <w:tr>
        <w:trPr>
          <w:trHeight w:val="179"/>
        </w:trPr>
        <w:tc>
          <w:tcPr>
            <w:tcW w:w="7160" w:type="dxa"/>
            <w:vAlign w:val="bottom"/>
            <w:tcBorders>
              <w:top w:val="single" w:sz="8" w:color="CCEEFF"/>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152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(13,555</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(3,760</w:t>
            </w:r>
          </w:p>
        </w:tc>
        <w:tc>
          <w:tcPr>
            <w:tcW w:w="120" w:type="dxa"/>
            <w:vAlign w:val="bottom"/>
            <w:tcBorders>
              <w:top w:val="single" w:sz="8" w:color="CCEEFF"/>
              <w:bottom w:val="single" w:sz="8" w:color="CCEEFF"/>
            </w:tcBorders>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211"/>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changes in foreign exchange rates on cash, cash equivalents, and restricted cash</w:t>
            </w:r>
          </w:p>
        </w:tc>
        <w:tc>
          <w:tcPr>
            <w:tcW w:w="1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75"/>
        </w:trPr>
        <w:tc>
          <w:tcPr>
            <w:tcW w:w="71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(147,108)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(25,554)</w:t>
            </w:r>
          </w:p>
        </w:tc>
        <w:tc>
          <w:tcPr>
            <w:tcW w:w="120" w:type="dxa"/>
            <w:vAlign w:val="bottom"/>
            <w:gridSpan w:val="2"/>
          </w:tcPr>
          <w:p>
            <w:pPr>
              <w:spacing w:after="0"/>
              <w:rPr>
                <w:sz w:val="15"/>
                <w:szCs w:val="15"/>
                <w:color w:val="auto"/>
              </w:rPr>
            </w:pPr>
          </w:p>
        </w:tc>
      </w:tr>
      <w:tr>
        <w:trPr>
          <w:trHeight w:val="22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270,773</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76,645</w:t>
            </w:r>
          </w:p>
        </w:tc>
        <w:tc>
          <w:tcPr>
            <w:tcW w:w="100" w:type="dxa"/>
            <w:vAlign w:val="bottom"/>
            <w:shd w:val="clear" w:color="auto" w:fill="CCEEFF"/>
          </w:tcPr>
          <w:p>
            <w:pPr>
              <w:spacing w:after="0"/>
              <w:rPr>
                <w:sz w:val="19"/>
                <w:szCs w:val="19"/>
                <w:color w:val="auto"/>
              </w:rPr>
            </w:pPr>
          </w:p>
        </w:tc>
      </w:tr>
      <w:tr>
        <w:trPr>
          <w:trHeight w:val="219"/>
        </w:trPr>
        <w:tc>
          <w:tcPr>
            <w:tcW w:w="716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5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123,665</w:t>
            </w:r>
          </w:p>
        </w:tc>
        <w:tc>
          <w:tcPr>
            <w:tcW w:w="24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51,091</w:t>
            </w:r>
          </w:p>
        </w:tc>
        <w:tc>
          <w:tcPr>
            <w:tcW w:w="2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r>
      <w:tr>
        <w:trPr>
          <w:trHeight w:val="18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to condensed consolidated balance sheets: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46,367</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48,881</w:t>
            </w:r>
          </w:p>
        </w:tc>
        <w:tc>
          <w:tcPr>
            <w:tcW w:w="100" w:type="dxa"/>
            <w:vAlign w:val="bottom"/>
          </w:tcPr>
          <w:p>
            <w:pPr>
              <w:spacing w:after="0"/>
              <w:rPr>
                <w:sz w:val="16"/>
                <w:szCs w:val="16"/>
                <w:color w:val="auto"/>
              </w:rPr>
            </w:pPr>
          </w:p>
        </w:tc>
      </w:tr>
      <w:tr>
        <w:trPr>
          <w:trHeight w:val="22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77,298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00" w:type="dxa"/>
            <w:vAlign w:val="bottom"/>
            <w:shd w:val="clear" w:color="auto" w:fill="CCEEFF"/>
          </w:tcPr>
          <w:p>
            <w:pPr>
              <w:spacing w:after="0"/>
              <w:rPr>
                <w:sz w:val="19"/>
                <w:szCs w:val="19"/>
                <w:color w:val="auto"/>
              </w:rPr>
            </w:pPr>
          </w:p>
        </w:tc>
      </w:tr>
      <w:tr>
        <w:trPr>
          <w:trHeight w:val="179"/>
        </w:trPr>
        <w:tc>
          <w:tcPr>
            <w:tcW w:w="716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Cash, cash equivalents, and restricted cash</w:t>
            </w:r>
          </w:p>
        </w:tc>
        <w:tc>
          <w:tcPr>
            <w:tcW w:w="152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123,665</w:t>
            </w: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51,091</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7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78"/>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T1 Energy Inc.</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News Release</w:t>
            </w:r>
          </w:p>
        </w:tc>
      </w:tr>
      <w:tr>
        <w:trPr>
          <w:trHeight w:val="482"/>
        </w:trPr>
        <w:tc>
          <w:tcPr>
            <w:tcW w:w="71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6"/>
                <w:szCs w:val="16"/>
                <w:color w:val="auto"/>
              </w:rPr>
              <w:t>7</w:t>
            </w:r>
          </w:p>
        </w:tc>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8" w:right="319" w:bottom="1440" w:gutter="0" w:footer="0" w:header="0"/>
        </w:sectPr>
      </w:pPr>
    </w:p>
    <w:bookmarkStart w:id="10" w:name="page11"/>
    <w:bookmarkEnd w:id="10"/>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T1 ENERGY INC.</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RECONCILIATION OF NON-GAAP MEASURES TO MOST COMPARABLE AMOUNTS</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6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28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4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(20,419)</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20" w:type="dxa"/>
            <w:vAlign w:val="bottom"/>
            <w:gridSpan w:val="2"/>
            <w:shd w:val="clear" w:color="auto" w:fill="CCEEFF"/>
          </w:tcPr>
          <w:p>
            <w:pPr>
              <w:spacing w:after="0"/>
              <w:rPr>
                <w:sz w:val="16"/>
                <w:szCs w:val="16"/>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24,321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9,978</w:t>
            </w:r>
          </w:p>
        </w:tc>
        <w:tc>
          <w:tcPr>
            <w:tcW w:w="100" w:type="dxa"/>
            <w:vAlign w:val="bottom"/>
          </w:tcPr>
          <w:p>
            <w:pPr>
              <w:spacing w:after="0"/>
              <w:rPr>
                <w:sz w:val="18"/>
                <w:szCs w:val="18"/>
                <w:color w:val="auto"/>
              </w:rPr>
            </w:pPr>
          </w:p>
        </w:tc>
      </w:tr>
      <w:tr>
        <w:trPr>
          <w:trHeight w:val="191"/>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24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91"/>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net income (loss) from continuing operations</w:t>
            </w: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6,164</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100" w:type="dxa"/>
            <w:vAlign w:val="bottom"/>
            <w:shd w:val="clear" w:color="auto" w:fill="CCEEFF"/>
          </w:tcPr>
          <w:p>
            <w:pPr>
              <w:spacing w:after="0"/>
              <w:rPr>
                <w:sz w:val="16"/>
                <w:szCs w:val="16"/>
                <w:color w:val="auto"/>
              </w:rPr>
            </w:pPr>
          </w:p>
        </w:tc>
      </w:tr>
      <w:tr>
        <w:trPr>
          <w:trHeight w:val="191"/>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(222)</w:t>
            </w:r>
          </w:p>
        </w:tc>
        <w:tc>
          <w:tcPr>
            <w:tcW w:w="30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(2,513)</w:t>
            </w:r>
          </w:p>
        </w:tc>
      </w:tr>
      <w:tr>
        <w:trPr>
          <w:trHeight w:val="191"/>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25,105</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100" w:type="dxa"/>
            <w:vAlign w:val="bottom"/>
            <w:shd w:val="clear" w:color="auto" w:fill="CCEEFF"/>
          </w:tcPr>
          <w:p>
            <w:pPr>
              <w:spacing w:after="0"/>
              <w:rPr>
                <w:sz w:val="16"/>
                <w:szCs w:val="16"/>
                <w:color w:val="auto"/>
              </w:rPr>
            </w:pPr>
          </w:p>
        </w:tc>
      </w:tr>
      <w:tr>
        <w:trPr>
          <w:trHeight w:val="191"/>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assets previously classified as held for sale</w:t>
            </w: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6"/>
                <w:szCs w:val="16"/>
                <w:color w:val="auto"/>
              </w:rPr>
            </w:pPr>
          </w:p>
        </w:tc>
      </w:tr>
      <w:tr>
        <w:trPr>
          <w:trHeight w:val="191"/>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 liability fair value adjustment</w:t>
            </w:r>
          </w:p>
        </w:tc>
        <w:tc>
          <w:tcPr>
            <w:tcW w:w="2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(10,413)</w:t>
            </w:r>
          </w:p>
        </w:tc>
        <w:tc>
          <w:tcPr>
            <w:tcW w:w="3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(1,567)</w:t>
            </w:r>
          </w:p>
        </w:tc>
      </w:tr>
      <w:tr>
        <w:trPr>
          <w:trHeight w:val="191"/>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liabilities fair value adjustment</w:t>
            </w: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(19,955)</w:t>
            </w:r>
          </w:p>
        </w:tc>
        <w:tc>
          <w:tcPr>
            <w:tcW w:w="30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(25,229)</w:t>
            </w:r>
          </w:p>
        </w:tc>
      </w:tr>
      <w:tr>
        <w:trPr>
          <w:trHeight w:val="191"/>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(1,981)</w:t>
            </w:r>
          </w:p>
        </w:tc>
        <w:tc>
          <w:tcPr>
            <w:tcW w:w="3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(163)</w:t>
            </w:r>
          </w:p>
        </w:tc>
      </w:tr>
      <w:tr>
        <w:trPr>
          <w:trHeight w:val="191"/>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2,738</w:t>
            </w:r>
          </w:p>
        </w:tc>
        <w:tc>
          <w:tcPr>
            <w:tcW w:w="3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tcPr>
          <w:p>
            <w:pPr>
              <w:spacing w:after="0"/>
              <w:rPr>
                <w:sz w:val="16"/>
                <w:szCs w:val="16"/>
                <w:color w:val="auto"/>
              </w:rPr>
            </w:pPr>
          </w:p>
        </w:tc>
      </w:tr>
      <w:tr>
        <w:trPr>
          <w:trHeight w:val="259"/>
        </w:trPr>
        <w:tc>
          <w:tcPr>
            <w:tcW w:w="6280" w:type="dxa"/>
            <w:vAlign w:val="bottom"/>
            <w:shd w:val="clear" w:color="auto" w:fill="CCEEFF"/>
          </w:tcPr>
          <w:p>
            <w:pPr>
              <w:ind w:left="140"/>
              <w:spacing w:after="0" w:line="238" w:lineRule="exact"/>
              <w:rPr>
                <w:sz w:val="20"/>
                <w:szCs w:val="20"/>
                <w:color w:val="auto"/>
              </w:rPr>
            </w:pPr>
            <w:r>
              <w:rPr>
                <w:rFonts w:ascii="Times New Roman" w:cs="Times New Roman" w:eastAsia="Times New Roman" w:hAnsi="Times New Roman"/>
                <w:sz w:val="16"/>
                <w:szCs w:val="16"/>
                <w:color w:val="auto"/>
              </w:rPr>
              <w:t xml:space="preserve">Transaction and nonrecurring expenses </w:t>
            </w:r>
            <w:r>
              <w:rPr>
                <w:rFonts w:ascii="Times New Roman" w:cs="Times New Roman" w:eastAsia="Times New Roman" w:hAnsi="Times New Roman"/>
                <w:sz w:val="26"/>
                <w:szCs w:val="26"/>
                <w:color w:val="auto"/>
                <w:vertAlign w:val="superscript"/>
              </w:rPr>
              <w:t>(1)</w:t>
            </w:r>
          </w:p>
        </w:tc>
        <w:tc>
          <w:tcPr>
            <w:tcW w:w="2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3,796</w:t>
            </w: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22"/>
                <w:szCs w:val="22"/>
                <w:color w:val="auto"/>
              </w:rPr>
            </w:pPr>
          </w:p>
        </w:tc>
      </w:tr>
      <w:tr>
        <w:trPr>
          <w:trHeight w:val="179"/>
        </w:trPr>
        <w:tc>
          <w:tcPr>
            <w:tcW w:w="628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Adjusted EBITDA</w:t>
            </w:r>
          </w:p>
        </w:tc>
        <w:tc>
          <w:tcPr>
            <w:tcW w:w="24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9,134</w:t>
            </w:r>
          </w:p>
        </w:tc>
        <w:tc>
          <w:tcPr>
            <w:tcW w:w="2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(4,001</w:t>
            </w:r>
          </w:p>
        </w:tc>
        <w:tc>
          <w:tcPr>
            <w:tcW w:w="120" w:type="dxa"/>
            <w:vAlign w:val="bottom"/>
            <w:tcBorders>
              <w:top w:val="single" w:sz="8" w:color="CCEEFF"/>
            </w:tcBorders>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284" w:right="20" w:hanging="284"/>
        <w:spacing w:after="0" w:line="257" w:lineRule="auto"/>
        <w:tabs>
          <w:tab w:leader="none" w:pos="2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and nonrecurring expenses of $3.8 million for the three months March 31, 2026, was primarily related to non-recurring legal costs in connection with the evaluation, interpretation, and implementation of provisions under the Inflation Reduction Act (“IRA”) and the One Big Beautiful Bill Act (“OBBBA”) and non-recurring legal and advisory costs in connection with the evaluation and pursuit of potential acquisitions and joint venture arrangements. Transaction and nonrecurring expenses of $3.0 million for the three months ended March 31, 2025, was primarily related to the Trina Business Combination and non-recurring legal and advisory costs in connection with the evaluation and pursuit of potential acquisitions and joint venture arrangements.</w:t>
      </w:r>
    </w:p>
    <w:p>
      <w:pPr>
        <w:spacing w:after="0" w:line="162" w:lineRule="exact"/>
        <w:rPr>
          <w:sz w:val="20"/>
          <w:szCs w:val="20"/>
          <w:color w:val="auto"/>
        </w:rPr>
      </w:pPr>
    </w:p>
    <w:p>
      <w:pPr>
        <w:ind w:left="4"/>
        <w:spacing w:after="0"/>
        <w:tabs>
          <w:tab w:leader="none" w:pos="10344" w:val="left"/>
        </w:tabs>
        <w:rPr>
          <w:sz w:val="20"/>
          <w:szCs w:val="20"/>
          <w:color w:val="auto"/>
        </w:rPr>
      </w:pPr>
      <w:r>
        <w:rPr>
          <w:rFonts w:ascii="Times New Roman" w:cs="Times New Roman" w:eastAsia="Times New Roman" w:hAnsi="Times New Roman"/>
          <w:sz w:val="16"/>
          <w:szCs w:val="16"/>
          <w:color w:val="auto"/>
        </w:rPr>
        <w:t>T1 Energy Inc.</w:t>
      </w:r>
      <w:r>
        <w:rPr>
          <w:sz w:val="20"/>
          <w:szCs w:val="20"/>
          <w:color w:val="auto"/>
        </w:rPr>
        <w:tab/>
      </w:r>
      <w:r>
        <w:rPr>
          <w:rFonts w:ascii="Times New Roman" w:cs="Times New Roman" w:eastAsia="Times New Roman" w:hAnsi="Times New Roman"/>
          <w:sz w:val="15"/>
          <w:szCs w:val="15"/>
          <w:color w:val="auto"/>
        </w:rPr>
        <w:t>News Release</w:t>
      </w:r>
    </w:p>
    <w:p>
      <w:pPr>
        <w:spacing w:after="0" w:line="2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18" w:right="319" w:bottom="1440" w:gutter="0" w:footer="0" w:header="0"/>
        </w:sectPr>
      </w:pPr>
    </w:p>
    <w:bookmarkStart w:id="11" w:name="page12"/>
    <w:bookmarkEnd w:id="11"/>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26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87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287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64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264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2026-05-12T05:27:30Z</dcterms:created>
  <dcterms:modified xsi:type="dcterms:W3CDTF">2026-05-12T05:27:30Z</dcterms:modified>
</cp:coreProperties>
</file>