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900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0068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1">
              <w:r>
                <w:rPr>
                  <w:rFonts w:ascii="Times New Roman" w:cs="Times New Roman" w:eastAsia="Times New Roman" w:hAnsi="Times New Roman"/>
                  <w:sz w:val="17"/>
                  <w:szCs w:val="17"/>
                  <w:color w:val="0000EE"/>
                  <w:w w:val="94"/>
                </w:rPr>
                <w:t>Forcier Jason</w:t>
              </w:r>
            </w:hyperlink>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0000EE"/>
            </w:tcBorders>
            <w:vMerge w:val="continue"/>
          </w:tcPr>
          <w:p>
            <w:pPr>
              <w:spacing w:after="0"/>
              <w:rPr>
                <w:sz w:val="9"/>
                <w:szCs w:val="9"/>
                <w:color w:val="auto"/>
              </w:rPr>
            </w:pPr>
          </w:p>
        </w:tc>
        <w:tc>
          <w:tcPr>
            <w:tcW w:w="8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12/31/2023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0"/>
                <w:szCs w:val="10"/>
                <w:color w:val="auto"/>
              </w:rPr>
              <w:t>(Last)</w:t>
            </w:r>
          </w:p>
        </w:tc>
        <w:tc>
          <w:tcPr>
            <w:tcW w:w="1080" w:type="dxa"/>
            <w:vAlign w:val="bottom"/>
          </w:tcPr>
          <w:p>
            <w:pPr>
              <w:ind w:left="1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6&amp;8 EAST COURT SQUARE</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300</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0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NEWNAN</w:t>
            </w:r>
          </w:p>
        </w:tc>
        <w:tc>
          <w:tcPr>
            <w:tcW w:w="10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GA</w:t>
            </w:r>
          </w:p>
        </w:tc>
        <w:tc>
          <w:tcPr>
            <w:tcW w:w="11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30263</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2000" w:type="dxa"/>
            <w:vAlign w:val="bottom"/>
            <w:gridSpan w:val="3"/>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300" w:type="dxa"/>
            <w:vAlign w:val="bottom"/>
            <w:gridSpan w:val="6"/>
          </w:tcPr>
          <w:p>
            <w:pPr>
              <w:ind w:left="40"/>
              <w:spacing w:after="0" w:line="176" w:lineRule="exact"/>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color w:val="0000EE"/>
                </w:rPr>
                <w:t xml:space="preserve">FREYR Battery, Inc. /DE/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FREY</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4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20" w:type="dxa"/>
            <w:vAlign w:val="bottom"/>
            <w:tcBorders>
              <w:top w:val="single" w:sz="8" w:color="0000EE"/>
              <w:bottom w:val="single" w:sz="8" w:color="2C2C2C"/>
            </w:tcBorders>
          </w:tcPr>
          <w:p>
            <w:pPr>
              <w:spacing w:after="0"/>
              <w:rPr>
                <w:sz w:val="24"/>
                <w:szCs w:val="24"/>
                <w:color w:val="auto"/>
              </w:rPr>
            </w:pPr>
          </w:p>
        </w:tc>
        <w:tc>
          <w:tcPr>
            <w:tcW w:w="1340" w:type="dxa"/>
            <w:vAlign w:val="bottom"/>
            <w:tcBorders>
              <w:top w:val="single" w:sz="8" w:color="0000EE"/>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160" w:type="dxa"/>
            <w:vAlign w:val="bottom"/>
            <w:gridSpan w:val="4"/>
          </w:tcPr>
          <w:p>
            <w:pPr>
              <w:ind w:left="20"/>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2140" w:type="dxa"/>
            <w:vAlign w:val="bottom"/>
            <w:gridSpan w:val="5"/>
          </w:tcPr>
          <w:p>
            <w:pPr>
              <w:ind w:left="40"/>
              <w:spacing w:after="0"/>
              <w:rPr>
                <w:sz w:val="20"/>
                <w:szCs w:val="20"/>
                <w:color w:val="auto"/>
              </w:rPr>
            </w:pPr>
            <w:r>
              <w:rPr>
                <w:rFonts w:ascii="Arial" w:cs="Arial" w:eastAsia="Arial" w:hAnsi="Arial"/>
                <w:sz w:val="10"/>
                <w:szCs w:val="10"/>
                <w:color w:val="auto"/>
              </w:rPr>
              <w:t>(Check all applicable)</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X</w:t>
            </w:r>
          </w:p>
        </w:tc>
        <w:tc>
          <w:tcPr>
            <w:tcW w:w="1680" w:type="dxa"/>
            <w:vAlign w:val="bottom"/>
            <w:gridSpan w:val="2"/>
            <w:vMerge w:val="restart"/>
          </w:tcPr>
          <w:p>
            <w:pPr>
              <w:ind w:left="100"/>
              <w:spacing w:after="0"/>
              <w:rPr>
                <w:sz w:val="20"/>
                <w:szCs w:val="20"/>
                <w:color w:val="auto"/>
              </w:rPr>
            </w:pPr>
            <w:r>
              <w:rPr>
                <w:rFonts w:ascii="Arial" w:cs="Arial" w:eastAsia="Arial" w:hAnsi="Arial"/>
                <w:sz w:val="10"/>
                <w:szCs w:val="10"/>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0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0"/>
                <w:szCs w:val="10"/>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gridSpan w:val="2"/>
          </w:tcPr>
          <w:p>
            <w:pPr>
              <w:ind w:left="100"/>
              <w:spacing w:after="0"/>
              <w:rPr>
                <w:sz w:val="20"/>
                <w:szCs w:val="20"/>
                <w:color w:val="auto"/>
              </w:rPr>
            </w:pPr>
            <w:r>
              <w:rPr>
                <w:rFonts w:ascii="Arial" w:cs="Arial" w:eastAsia="Arial" w:hAnsi="Arial"/>
                <w:sz w:val="10"/>
                <w:szCs w:val="10"/>
                <w:color w:val="auto"/>
              </w:rPr>
              <w:t>below)</w:t>
            </w:r>
          </w:p>
        </w:tc>
        <w:tc>
          <w:tcPr>
            <w:tcW w:w="1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3780"/>
        <w:spacing w:after="0"/>
        <w:rPr>
          <w:sz w:val="20"/>
          <w:szCs w:val="20"/>
          <w:color w:val="auto"/>
        </w:rPr>
      </w:pPr>
      <w:r>
        <w:rPr>
          <w:rFonts w:ascii="Arial" w:cs="Arial" w:eastAsia="Arial" w:hAnsi="Arial"/>
          <w:sz w:val="10"/>
          <w:szCs w:val="10"/>
          <w:color w:val="auto"/>
        </w:rPr>
        <w:t>Form filed by More than One Reporting Person</w:t>
      </w:r>
    </w:p>
    <w:p>
      <w:pPr>
        <w:spacing w:after="0" w:line="353" w:lineRule="exact"/>
        <w:rPr>
          <w:sz w:val="24"/>
          <w:szCs w:val="24"/>
          <w:color w:val="auto"/>
        </w:rPr>
      </w:pPr>
    </w:p>
    <w:p>
      <w:pPr>
        <w:sectPr>
          <w:pgSz w:w="11900" w:h="16838" w:orient="portrait"/>
          <w:cols w:equalWidth="0" w:num="2">
            <w:col w:w="4660" w:space="300"/>
            <w:col w:w="6060"/>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20" w:type="dxa"/>
            <w:vAlign w:val="bottom"/>
            <w:gridSpan w:val="2"/>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0"/>
        </w:trPr>
        <w:tc>
          <w:tcPr>
            <w:tcW w:w="20" w:type="dxa"/>
            <w:vAlign w:val="bottom"/>
            <w:tcBorders>
              <w:bottom w:val="single" w:sz="8" w:color="2C2C2C"/>
            </w:tcBorders>
          </w:tcPr>
          <w:p>
            <w:pPr>
              <w:spacing w:after="0"/>
              <w:rPr>
                <w:sz w:val="3"/>
                <w:szCs w:val="3"/>
                <w:color w:val="auto"/>
              </w:rPr>
            </w:pPr>
          </w:p>
        </w:tc>
        <w:tc>
          <w:tcPr>
            <w:tcW w:w="31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20" w:type="dxa"/>
            <w:vAlign w:val="bottom"/>
            <w:tcBorders>
              <w:top w:val="single" w:sz="8" w:color="808080"/>
            </w:tcBorders>
            <w:shd w:val="clear" w:color="auto" w:fill="2C2C2C"/>
          </w:tcPr>
          <w:p>
            <w:pPr>
              <w:spacing w:after="0" w:line="20" w:lineRule="exact"/>
              <w:rPr>
                <w:sz w:val="1"/>
                <w:szCs w:val="1"/>
                <w:color w:val="auto"/>
              </w:rPr>
            </w:pPr>
          </w:p>
        </w:tc>
        <w:tc>
          <w:tcPr>
            <w:tcW w:w="370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2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8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Expiration Date</w:t>
            </w:r>
          </w:p>
        </w:tc>
        <w:tc>
          <w:tcPr>
            <w:tcW w:w="20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76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(Month/Day/Year)</w:t>
            </w:r>
          </w:p>
        </w:tc>
        <w:tc>
          <w:tcPr>
            <w:tcW w:w="2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760" w:type="dxa"/>
            <w:vAlign w:val="bottom"/>
            <w:vMerge w:val="restart"/>
          </w:tcPr>
          <w:p>
            <w:pPr>
              <w:ind w:left="1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8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Expiration</w:t>
            </w:r>
          </w:p>
        </w:tc>
        <w:tc>
          <w:tcPr>
            <w:tcW w:w="20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7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020" w:type="dxa"/>
            <w:vAlign w:val="bottom"/>
            <w:vMerge w:val="continue"/>
          </w:tcPr>
          <w:p>
            <w:pPr>
              <w:spacing w:after="0"/>
              <w:rPr>
                <w:sz w:val="12"/>
                <w:szCs w:val="12"/>
                <w:color w:val="auto"/>
              </w:rPr>
            </w:pPr>
          </w:p>
        </w:tc>
        <w:tc>
          <w:tcPr>
            <w:tcW w:w="760" w:type="dxa"/>
            <w:vAlign w:val="bottom"/>
          </w:tcPr>
          <w:p>
            <w:pPr>
              <w:ind w:left="1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2C2C2C"/>
            </w:tcBorders>
          </w:tcPr>
          <w:p>
            <w:pPr>
              <w:spacing w:after="0"/>
              <w:rPr>
                <w:sz w:val="21"/>
                <w:szCs w:val="21"/>
                <w:color w:val="auto"/>
              </w:rPr>
            </w:pPr>
          </w:p>
        </w:tc>
        <w:tc>
          <w:tcPr>
            <w:tcW w:w="36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 Options (right to buy)</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9"/>
                <w:szCs w:val="9"/>
                <w:color w:val="008000"/>
              </w:rPr>
              <w:t>(1)</w:t>
            </w:r>
          </w:p>
        </w:tc>
        <w:tc>
          <w:tcPr>
            <w:tcW w:w="600" w:type="dxa"/>
            <w:vAlign w:val="bottom"/>
            <w:tcBorders>
              <w:bottom w:val="single" w:sz="8" w:color="2C2C2C"/>
            </w:tcBorders>
          </w:tcPr>
          <w:p>
            <w:pPr>
              <w:jc w:val="right"/>
              <w:ind w:right="8"/>
              <w:spacing w:after="0"/>
              <w:rPr>
                <w:sz w:val="20"/>
                <w:szCs w:val="20"/>
                <w:color w:val="auto"/>
              </w:rPr>
            </w:pPr>
            <w:r>
              <w:rPr>
                <w:rFonts w:ascii="Times New Roman" w:cs="Times New Roman" w:eastAsia="Times New Roman" w:hAnsi="Times New Roman"/>
                <w:sz w:val="10"/>
                <w:szCs w:val="10"/>
                <w:color w:val="0000FF"/>
              </w:rPr>
              <w:t>06/27/2028</w:t>
            </w:r>
          </w:p>
        </w:tc>
        <w:tc>
          <w:tcPr>
            <w:tcW w:w="20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3"/>
                <w:szCs w:val="13"/>
                <w:color w:val="0000FF"/>
              </w:rPr>
              <w:t>Shares of Common Stock</w:t>
            </w:r>
            <w:r>
              <w:rPr>
                <w:rFonts w:ascii="Times New Roman" w:cs="Times New Roman" w:eastAsia="Times New Roman" w:hAnsi="Times New Roman"/>
                <w:sz w:val="17"/>
                <w:szCs w:val="17"/>
                <w:color w:val="008000"/>
                <w:vertAlign w:val="superscript"/>
              </w:rPr>
              <w:t>(2)(3)</w:t>
            </w:r>
          </w:p>
        </w:tc>
        <w:tc>
          <w:tcPr>
            <w:tcW w:w="760" w:type="dxa"/>
            <w:vAlign w:val="bottom"/>
            <w:tcBorders>
              <w:bottom w:val="single" w:sz="8" w:color="2C2C2C"/>
            </w:tcBorders>
          </w:tcPr>
          <w:p>
            <w:pPr>
              <w:jc w:val="right"/>
              <w:ind w:right="84"/>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7.68</w:t>
            </w:r>
          </w:p>
        </w:tc>
        <w:tc>
          <w:tcPr>
            <w:tcW w:w="8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Consists of compensatory options which vest annually over three years granted on June 27, 2023 pursuant to the FREYR 2021 LTIP (as defined herein). One-third (1/3) of the shares subject to compensatory options shall vest on June 27, 2024. One-third (1/3) of the shares subject to compensatory options shall vest on June 27, 2025. One-third (1/3) of the shares subject to compensatory options shall vest on June 27, 2026. Options typically are not forfeited for directors once their directorship relationship ends.</w:t>
      </w:r>
    </w:p>
    <w:p>
      <w:pPr>
        <w:spacing w:after="0" w:line="3" w:lineRule="exact"/>
        <w:rPr>
          <w:rFonts w:ascii="Times New Roman" w:cs="Times New Roman" w:eastAsia="Times New Roman" w:hAnsi="Times New Roman"/>
          <w:sz w:val="10"/>
          <w:szCs w:val="10"/>
          <w:color w:val="008000"/>
        </w:rPr>
      </w:pPr>
    </w:p>
    <w:p>
      <w:pPr>
        <w:ind w:left="40" w:right="160" w:hanging="6"/>
        <w:spacing w:after="0" w:line="251"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As described in the issuer's registration statement on Form S-4 (File No. 333-274434), following the redomiciliation of FREYR Battery, the issuer's predecessor registrant (the "Predecessor Registrant") from Luxembourg to the State of Delaware on December 31, 2023, each right and obligation under the Predecessor Registrant's equity-based benefit and compensation plans and programs and agreements providing for the grant or award of restricted stock, stock units, stock options, warrants, stock appreciation rights, performance shares, performance units, dividend equivalent rights, and share awards, including the Predecessor Registrant's 2021 Equity Incentive Plan (amended and restated as of May 10, 2023) (the "FREYR 2021 LTIP"), was assumed by the issuer and converted to a corresponding equity award with respect to shares of the issuer's common stock, par value $0.01 per share (the "Common Stock"), (continued on footnote 3)</w:t>
      </w:r>
    </w:p>
    <w:p>
      <w:pPr>
        <w:spacing w:after="0" w:line="16" w:lineRule="exact"/>
        <w:rPr>
          <w:rFonts w:ascii="Times New Roman" w:cs="Times New Roman" w:eastAsia="Times New Roman" w:hAnsi="Times New Roman"/>
          <w:sz w:val="10"/>
          <w:szCs w:val="10"/>
          <w:color w:val="008000"/>
        </w:rPr>
      </w:pPr>
    </w:p>
    <w:p>
      <w:pPr>
        <w:ind w:left="40" w:right="4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(continued from footnote 2) on a one-to-one basis and each equity or equity-based award granted under the Predecessor Registrant was canceled and the recipient had no right or interest in such award or any underlying ordinary shares of the Predecessor Registrant other than receipt of a corresponding equity or equity-based award with respect to Common Stock.</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List Exhibit 24.1 -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Jason Forcier</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01/10/2024</w:t>
            </w:r>
          </w:p>
        </w:tc>
      </w:tr>
      <w:tr>
        <w:trPr>
          <w:trHeight w:val="178"/>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472300" TargetMode="External"/><Relationship Id="rId12" Type="http://schemas.openxmlformats.org/officeDocument/2006/relationships/hyperlink" Target="http://www.sec.gov/cgi-bin/browse-edgar?action=getcompany&amp;CIK=00019922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2024-01-10T16:39:22Z</dcterms:created>
  <dcterms:modified xsi:type="dcterms:W3CDTF">2024-01-10T16:39:22Z</dcterms:modified>
</cp:coreProperties>
</file>